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12EE" w:rsidRPr="007E0CA7" w:rsidRDefault="00A612EE" w:rsidP="00A612EE">
      <w:pPr>
        <w:pStyle w:val="a3"/>
        <w:rPr>
          <w:rFonts w:hint="cs"/>
          <w:sz w:val="20"/>
          <w:szCs w:val="20"/>
          <w:rtl/>
        </w:rPr>
      </w:pPr>
      <w:r w:rsidRPr="007E0CA7">
        <w:rPr>
          <w:rFonts w:hint="cs"/>
          <w:sz w:val="20"/>
          <w:szCs w:val="20"/>
          <w:rtl/>
        </w:rPr>
        <w:t>בס"ד, כ"ח באדר התשע"ה</w:t>
      </w:r>
    </w:p>
    <w:p w:rsidR="00A612EE" w:rsidRPr="007E0CA7" w:rsidRDefault="00A612EE" w:rsidP="00A612EE">
      <w:pPr>
        <w:pStyle w:val="a3"/>
        <w:rPr>
          <w:rFonts w:hint="cs"/>
          <w:sz w:val="20"/>
          <w:szCs w:val="20"/>
          <w:rtl/>
        </w:rPr>
      </w:pPr>
    </w:p>
    <w:p w:rsidR="00A612EE" w:rsidRPr="007E0CA7" w:rsidRDefault="00A612EE" w:rsidP="00A612EE">
      <w:pPr>
        <w:pStyle w:val="a3"/>
        <w:jc w:val="center"/>
        <w:rPr>
          <w:rFonts w:hint="cs"/>
          <w:b/>
          <w:bCs/>
          <w:sz w:val="20"/>
          <w:szCs w:val="20"/>
          <w:rtl/>
        </w:rPr>
      </w:pPr>
      <w:r w:rsidRPr="007E0CA7">
        <w:rPr>
          <w:rFonts w:hint="cs"/>
          <w:b/>
          <w:bCs/>
          <w:sz w:val="20"/>
          <w:szCs w:val="20"/>
          <w:rtl/>
        </w:rPr>
        <w:t>לימוד לסוף זמן חורף התשע"ה</w:t>
      </w:r>
    </w:p>
    <w:p w:rsidR="00A612EE" w:rsidRPr="007E0CA7" w:rsidRDefault="00A612EE" w:rsidP="00A612EE">
      <w:pPr>
        <w:pStyle w:val="a3"/>
        <w:rPr>
          <w:rFonts w:hint="cs"/>
          <w:sz w:val="20"/>
          <w:szCs w:val="20"/>
          <w:rtl/>
        </w:rPr>
      </w:pPr>
    </w:p>
    <w:p w:rsidR="00A612EE" w:rsidRPr="007E0CA7" w:rsidRDefault="00A612EE" w:rsidP="00A612EE">
      <w:pPr>
        <w:pStyle w:val="a3"/>
        <w:rPr>
          <w:rFonts w:hint="cs"/>
          <w:sz w:val="20"/>
          <w:szCs w:val="20"/>
          <w:rtl/>
        </w:rPr>
      </w:pPr>
      <w:r w:rsidRPr="007E0CA7">
        <w:rPr>
          <w:rFonts w:hint="cs"/>
          <w:sz w:val="20"/>
          <w:szCs w:val="20"/>
          <w:rtl/>
        </w:rPr>
        <w:t xml:space="preserve">א. יו"ט לעומת חוה"מ </w:t>
      </w:r>
      <w:r w:rsidRPr="007E0CA7">
        <w:rPr>
          <w:sz w:val="20"/>
          <w:szCs w:val="20"/>
          <w:rtl/>
        </w:rPr>
        <w:t>–</w:t>
      </w:r>
      <w:r w:rsidRPr="007E0CA7">
        <w:rPr>
          <w:rFonts w:hint="cs"/>
          <w:sz w:val="20"/>
          <w:szCs w:val="20"/>
          <w:rtl/>
        </w:rPr>
        <w:t xml:space="preserve"> אור החמה לעומת אור הלבנה</w:t>
      </w:r>
    </w:p>
    <w:p w:rsidR="00A612EE" w:rsidRPr="007E0CA7" w:rsidRDefault="00A612EE" w:rsidP="00A612EE">
      <w:pPr>
        <w:pStyle w:val="a3"/>
        <w:rPr>
          <w:rFonts w:hint="cs"/>
          <w:sz w:val="20"/>
          <w:szCs w:val="20"/>
          <w:rtl/>
        </w:rPr>
      </w:pPr>
      <w:r w:rsidRPr="007E0CA7">
        <w:rPr>
          <w:rFonts w:hint="cs"/>
          <w:sz w:val="20"/>
          <w:szCs w:val="20"/>
          <w:rtl/>
        </w:rPr>
        <w:t>זוהר חדש שה"ש, מאמר תפילין דקב"ה מנח לון, ויו"ט וחוה"מ</w:t>
      </w:r>
    </w:p>
    <w:p w:rsidR="00A612EE" w:rsidRPr="007E0CA7" w:rsidRDefault="00A612EE" w:rsidP="00A612EE">
      <w:pPr>
        <w:pStyle w:val="a3"/>
        <w:rPr>
          <w:sz w:val="20"/>
          <w:szCs w:val="20"/>
          <w:rtl/>
        </w:rPr>
      </w:pPr>
      <w:r w:rsidRPr="007E0CA7">
        <w:rPr>
          <w:sz w:val="20"/>
          <w:szCs w:val="20"/>
          <w:rtl/>
        </w:rPr>
        <w:t>רב המנונא סבא אמר הכי, אלין אינון ימים דאקרו טובים. ואינון תפילין דרישא, דאינון תפילין דקודשא בריך הוא מנח לון, וע"ד אקרון טובים, בגין דאינון נהרין ברישא דקודשא עילאה:</w:t>
      </w:r>
    </w:p>
    <w:p w:rsidR="00A612EE" w:rsidRPr="007E0CA7" w:rsidRDefault="00A612EE" w:rsidP="00A612EE">
      <w:pPr>
        <w:pStyle w:val="a3"/>
        <w:rPr>
          <w:sz w:val="20"/>
          <w:szCs w:val="20"/>
          <w:rtl/>
        </w:rPr>
      </w:pPr>
      <w:r w:rsidRPr="007E0CA7">
        <w:rPr>
          <w:sz w:val="20"/>
          <w:szCs w:val="20"/>
          <w:rtl/>
        </w:rPr>
        <w:t xml:space="preserve"> ובכל אתר, ימים טובים אינון תפילין דרישא, דקב"ה מנח לון. חולו של מועד, דלא אקרי י"ט, אלין תפילין דדרועא, דהא לית ליה לסיהרא מגרמה כלום, אלא מנהירו די"ט:</w:t>
      </w:r>
    </w:p>
    <w:p w:rsidR="00A612EE" w:rsidRPr="007E0CA7" w:rsidRDefault="00A612EE" w:rsidP="00A612EE">
      <w:pPr>
        <w:pStyle w:val="a3"/>
        <w:rPr>
          <w:sz w:val="20"/>
          <w:szCs w:val="20"/>
          <w:rtl/>
        </w:rPr>
      </w:pPr>
      <w:r w:rsidRPr="007E0CA7">
        <w:rPr>
          <w:sz w:val="20"/>
          <w:szCs w:val="20"/>
          <w:rtl/>
        </w:rPr>
        <w:t xml:space="preserve"> תפילין דדרועא דאיהי תפלה של יד, לא נהירא אלא מגו נהירו דתפילין של ראש. תפלה דרישא, ימים טובים. תפלה דדרועא, חולו של מועד. ושפיר קאמר, והכי הוא.</w:t>
      </w:r>
    </w:p>
    <w:p w:rsidR="00A612EE" w:rsidRPr="007E0CA7" w:rsidRDefault="00A612EE" w:rsidP="00A612EE">
      <w:pPr>
        <w:pStyle w:val="a3"/>
        <w:rPr>
          <w:sz w:val="20"/>
          <w:szCs w:val="20"/>
          <w:rtl/>
        </w:rPr>
      </w:pPr>
      <w:r w:rsidRPr="007E0CA7">
        <w:rPr>
          <w:sz w:val="20"/>
          <w:szCs w:val="20"/>
          <w:rtl/>
        </w:rPr>
        <w:t>וע"ד חולו של מועד איהו לענין עבידתא, כגוונא די"ט. ואצטריך חדוה כגוונא דיליה. ובגין כך, באלין יומין דאינון תפילין דמארי עלמא, אסור לאנחא שאר תפילין, דהא אלין יומין, דאינון תפילין עילאין שריין על רישיהון דישראל קדישין:</w:t>
      </w:r>
    </w:p>
    <w:p w:rsidR="00A612EE" w:rsidRPr="007E0CA7" w:rsidRDefault="00A612EE" w:rsidP="00A612EE">
      <w:pPr>
        <w:pStyle w:val="a3"/>
        <w:rPr>
          <w:sz w:val="20"/>
          <w:szCs w:val="20"/>
          <w:rtl/>
        </w:rPr>
      </w:pPr>
      <w:r w:rsidRPr="007E0CA7">
        <w:rPr>
          <w:sz w:val="20"/>
          <w:szCs w:val="20"/>
          <w:rtl/>
        </w:rPr>
        <w:t xml:space="preserve"> רבי אלעזר שאיל לרבי שמעון אבוי, א"ל, תינח תפילין דרישא, דשריין על רישיהון דעמא קדישא בי"ט. תפילין של יד, דאיהי חולו של מועד, איך אנן אחדין לה:</w:t>
      </w:r>
    </w:p>
    <w:p w:rsidR="00A612EE" w:rsidRPr="007E0CA7" w:rsidRDefault="00A612EE" w:rsidP="00A612EE">
      <w:pPr>
        <w:pStyle w:val="a3"/>
        <w:rPr>
          <w:sz w:val="20"/>
          <w:szCs w:val="20"/>
          <w:rtl/>
        </w:rPr>
      </w:pPr>
      <w:r w:rsidRPr="007E0CA7">
        <w:rPr>
          <w:sz w:val="20"/>
          <w:szCs w:val="20"/>
          <w:rtl/>
        </w:rPr>
        <w:t xml:space="preserve"> א"ל, בגין דאנן אחדין לה, ואיהי י"ד כהה, אסור למעבד עבידתא בסטרא דילה, ואצטריך למעבד חדוה, בסטרא דתפילין דרישא:</w:t>
      </w:r>
      <w:r w:rsidRPr="007E0CA7">
        <w:rPr>
          <w:rFonts w:hint="cs"/>
          <w:sz w:val="20"/>
          <w:szCs w:val="20"/>
          <w:rtl/>
        </w:rPr>
        <w:t xml:space="preserve"> </w:t>
      </w:r>
      <w:r w:rsidRPr="007E0CA7">
        <w:rPr>
          <w:sz w:val="20"/>
          <w:szCs w:val="20"/>
          <w:rtl/>
        </w:rPr>
        <w:t xml:space="preserve"> ועמא קדישא אחדין תפילין דמארי עלמא ושריין עלייהו בי"ט ובחולו של מועד, ואסור לאעברא תפילין דמארי עלמא מעל רישיהון, לאנחא תפילין אחרנין, דאינון דוגמא ודיוקנא לתתא:</w:t>
      </w:r>
    </w:p>
    <w:p w:rsidR="00A612EE" w:rsidRPr="007E0CA7" w:rsidRDefault="00A612EE" w:rsidP="00A612EE">
      <w:pPr>
        <w:pStyle w:val="a3"/>
        <w:rPr>
          <w:sz w:val="20"/>
          <w:szCs w:val="20"/>
          <w:rtl/>
        </w:rPr>
      </w:pPr>
      <w:r w:rsidRPr="007E0CA7">
        <w:rPr>
          <w:rFonts w:hint="cs"/>
          <w:sz w:val="20"/>
          <w:szCs w:val="20"/>
          <w:rtl/>
        </w:rPr>
        <w:t xml:space="preserve">[משל] </w:t>
      </w:r>
      <w:r w:rsidRPr="007E0CA7">
        <w:rPr>
          <w:sz w:val="20"/>
          <w:szCs w:val="20"/>
          <w:rtl/>
        </w:rPr>
        <w:t>למלכא דבעי לנטרא ליה לעבדיה, א"ל עביד חותמא כדיוקנא דחותמא דיליה, כל זמנא דההוא דיוקנא יתחזי עלך, כלא יזועון וידחלון מינך. לבתר מגו רחימו עילאה, דקא רחים ליה מלכא, יהב בידיה חותמא דגושפנקא עילאה דיליה, כיון דאחיד חותמא עילאה דמלכא בידיה, שביק מניה ההוא דיוקנא דאיהו עבד:</w:t>
      </w:r>
    </w:p>
    <w:p w:rsidR="00A612EE" w:rsidRPr="007E0CA7" w:rsidRDefault="00A612EE" w:rsidP="00A612EE">
      <w:pPr>
        <w:pStyle w:val="a3"/>
        <w:rPr>
          <w:sz w:val="20"/>
          <w:szCs w:val="20"/>
          <w:rtl/>
        </w:rPr>
      </w:pPr>
      <w:r w:rsidRPr="007E0CA7">
        <w:rPr>
          <w:sz w:val="20"/>
          <w:szCs w:val="20"/>
          <w:rtl/>
        </w:rPr>
        <w:t xml:space="preserve"> אי ההוא עבד, דחי חותמא עילאה דמלכא, בגין ההוא חותמא דאיהו עביד, ודאי בר קטולא איהו ההוא עבדא, בגין דעביד קלנא בחותמא דמלכא, ולא חייש ליקריה. ובג"כ אסור לעמא קדישא לדחיא חותמא דמלכא עילאה דשרי עלן, בגין דיוקנא דא דאנן עבדין:</w:t>
      </w:r>
      <w:r w:rsidRPr="007E0CA7">
        <w:rPr>
          <w:rFonts w:hint="cs"/>
          <w:sz w:val="20"/>
          <w:szCs w:val="20"/>
          <w:rtl/>
        </w:rPr>
        <w:t xml:space="preserve"> </w:t>
      </w:r>
      <w:r w:rsidRPr="007E0CA7">
        <w:rPr>
          <w:sz w:val="20"/>
          <w:szCs w:val="20"/>
          <w:rtl/>
        </w:rPr>
        <w:t xml:space="preserve"> האי במועד ובחולו של מועד, וכ"ש בשבת, דכלא שריא עלן, שבת דמעלי שבתא, תפלה של יד. שבת דיומא, תפילין דרישא:</w:t>
      </w:r>
    </w:p>
    <w:p w:rsidR="00A612EE" w:rsidRPr="007E0CA7" w:rsidRDefault="00A612EE" w:rsidP="00A612EE">
      <w:pPr>
        <w:pStyle w:val="a3"/>
        <w:rPr>
          <w:sz w:val="20"/>
          <w:szCs w:val="20"/>
          <w:rtl/>
        </w:rPr>
      </w:pPr>
      <w:r w:rsidRPr="007E0CA7">
        <w:rPr>
          <w:sz w:val="20"/>
          <w:szCs w:val="20"/>
          <w:rtl/>
        </w:rPr>
        <w:t xml:space="preserve"> והכי קא מסדר קב"ה לעמא קדישא רחימא דיליה, בחול אינון תפילין דעבדו דיוקנא דחותמא דמלכא, למהוי נטירין בכל סטרין. בשבת ומועד דאינון יומין טבין, ותפילין דמארי עלמא ממש. מעברן ההיא דיוקנא, ומנחי תפילין דמארי עלמא. זכאין עמא דא, דבידן חותמא עילאה דמלכא:</w:t>
      </w:r>
    </w:p>
    <w:p w:rsidR="007E0CA7" w:rsidRDefault="00A612EE" w:rsidP="007E0CA7">
      <w:pPr>
        <w:pStyle w:val="a3"/>
        <w:rPr>
          <w:rFonts w:hint="cs"/>
          <w:b/>
          <w:bCs/>
          <w:sz w:val="20"/>
          <w:szCs w:val="20"/>
          <w:rtl/>
        </w:rPr>
      </w:pPr>
      <w:r w:rsidRPr="007E0CA7">
        <w:rPr>
          <w:sz w:val="20"/>
          <w:szCs w:val="20"/>
          <w:rtl/>
        </w:rPr>
        <w:t xml:space="preserve"> מאן דמנח תפילין, אצטריך למחדי ועל דא כתיב, ושמחת בחגך. בתפילין דמארי עלמא אצטריך למחדי. וחדוה דא, במועד ובחולו של מועד, בתפילין דרישא, ובתפילין דדרועא:</w:t>
      </w:r>
    </w:p>
    <w:p w:rsidR="007E0CA7" w:rsidRPr="007E0CA7" w:rsidRDefault="007E0CA7" w:rsidP="007E0CA7">
      <w:pPr>
        <w:rPr>
          <w:rFonts w:hint="cs"/>
          <w:b/>
          <w:bCs/>
          <w:sz w:val="20"/>
          <w:szCs w:val="20"/>
          <w:rtl/>
        </w:rPr>
      </w:pPr>
    </w:p>
    <w:p w:rsidR="007E0CA7" w:rsidRPr="007E0CA7" w:rsidRDefault="007E0CA7" w:rsidP="007E0CA7">
      <w:pPr>
        <w:jc w:val="both"/>
        <w:rPr>
          <w:sz w:val="20"/>
          <w:szCs w:val="20"/>
          <w:rtl/>
        </w:rPr>
      </w:pPr>
      <w:r>
        <w:rPr>
          <w:rFonts w:hint="cs"/>
          <w:b/>
          <w:bCs/>
          <w:sz w:val="20"/>
          <w:szCs w:val="20"/>
          <w:rtl/>
        </w:rPr>
        <w:t>הרב שג"ר ...</w:t>
      </w:r>
      <w:r w:rsidRPr="007E0CA7">
        <w:rPr>
          <w:sz w:val="20"/>
          <w:szCs w:val="20"/>
          <w:rtl/>
        </w:rPr>
        <w:t>האם הקדושה בעולמי הינה ח</w:t>
      </w:r>
      <w:r w:rsidRPr="007E0CA7">
        <w:rPr>
          <w:rFonts w:hint="cs"/>
          <w:sz w:val="20"/>
          <w:szCs w:val="20"/>
          <w:rtl/>
        </w:rPr>
        <w:t>ו</w:t>
      </w:r>
      <w:r w:rsidRPr="007E0CA7">
        <w:rPr>
          <w:sz w:val="20"/>
          <w:szCs w:val="20"/>
          <w:rtl/>
        </w:rPr>
        <w:t>ויה יוצאת דופן? חו</w:t>
      </w:r>
      <w:r w:rsidRPr="007E0CA7">
        <w:rPr>
          <w:rFonts w:hint="cs"/>
          <w:sz w:val="20"/>
          <w:szCs w:val="20"/>
          <w:rtl/>
        </w:rPr>
        <w:t>ו</w:t>
      </w:r>
      <w:r w:rsidRPr="007E0CA7">
        <w:rPr>
          <w:sz w:val="20"/>
          <w:szCs w:val="20"/>
          <w:rtl/>
        </w:rPr>
        <w:t>יה נדירה מסתורית, הופעה נישאה ונשגבות שלא מהעולם?</w:t>
      </w:r>
    </w:p>
    <w:p w:rsidR="007E0CA7" w:rsidRPr="007E0CA7" w:rsidRDefault="007E0CA7" w:rsidP="007E0CA7">
      <w:pPr>
        <w:jc w:val="both"/>
        <w:rPr>
          <w:sz w:val="20"/>
          <w:szCs w:val="20"/>
          <w:rtl/>
        </w:rPr>
      </w:pPr>
      <w:r w:rsidRPr="007E0CA7">
        <w:rPr>
          <w:sz w:val="20"/>
          <w:szCs w:val="20"/>
          <w:rtl/>
        </w:rPr>
        <w:t>המחשבה הראשונה שעלתה בדעתי הינה שהקדושה בעולמי איננה הניגוד של הטומאה, ואפילו לא של החטא, אלא של החו</w:t>
      </w:r>
      <w:r>
        <w:rPr>
          <w:rFonts w:hint="cs"/>
          <w:sz w:val="20"/>
          <w:szCs w:val="20"/>
          <w:rtl/>
        </w:rPr>
        <w:t>ּ</w:t>
      </w:r>
      <w:r w:rsidRPr="007E0CA7">
        <w:rPr>
          <w:sz w:val="20"/>
          <w:szCs w:val="20"/>
          <w:rtl/>
        </w:rPr>
        <w:t>לי. למעשה כפי שאמרתי פעם לחבר, אני דתי כדי לה</w:t>
      </w:r>
      <w:r w:rsidRPr="007E0CA7">
        <w:rPr>
          <w:rFonts w:hint="cs"/>
          <w:sz w:val="20"/>
          <w:szCs w:val="20"/>
          <w:rtl/>
        </w:rPr>
        <w:t>י</w:t>
      </w:r>
      <w:r w:rsidRPr="007E0CA7">
        <w:rPr>
          <w:sz w:val="20"/>
          <w:szCs w:val="20"/>
          <w:rtl/>
        </w:rPr>
        <w:t>מלט מהבנ</w:t>
      </w:r>
      <w:r w:rsidRPr="007E0CA7">
        <w:rPr>
          <w:rFonts w:hint="cs"/>
          <w:b/>
          <w:bCs/>
          <w:sz w:val="20"/>
          <w:szCs w:val="20"/>
          <w:rtl/>
        </w:rPr>
        <w:t>א</w:t>
      </w:r>
      <w:r w:rsidRPr="007E0CA7">
        <w:rPr>
          <w:sz w:val="20"/>
          <w:szCs w:val="20"/>
          <w:rtl/>
        </w:rPr>
        <w:t>ליות, כשם אחד מספריו של קונדרה מ'הקלות הבלתי נסבלת של הקיום'. אני מחפש את המשמעותי, את הגיבוי הפנימי, את המשהו שהינו שו</w:t>
      </w:r>
      <w:r w:rsidRPr="007E0CA7">
        <w:rPr>
          <w:rFonts w:hint="cs"/>
          <w:b/>
          <w:bCs/>
          <w:sz w:val="20"/>
          <w:szCs w:val="20"/>
          <w:rtl/>
        </w:rPr>
        <w:t>ו</w:t>
      </w:r>
      <w:r w:rsidRPr="007E0CA7">
        <w:rPr>
          <w:sz w:val="20"/>
          <w:szCs w:val="20"/>
          <w:rtl/>
        </w:rPr>
        <w:t xml:space="preserve">ה איזו שהיא נגיעה והיא המזוהה בתודעתי עם הקדושה. </w:t>
      </w:r>
    </w:p>
    <w:p w:rsidR="007E0CA7" w:rsidRPr="007E0CA7" w:rsidRDefault="007E0CA7" w:rsidP="007E0CA7">
      <w:pPr>
        <w:jc w:val="both"/>
        <w:rPr>
          <w:sz w:val="20"/>
          <w:szCs w:val="20"/>
          <w:rtl/>
        </w:rPr>
      </w:pPr>
      <w:r w:rsidRPr="007E0CA7">
        <w:rPr>
          <w:sz w:val="20"/>
          <w:szCs w:val="20"/>
          <w:rtl/>
        </w:rPr>
        <w:t>היא למעשה משהו שמלוה אותי תמיד, גם בשעות נפילה וד</w:t>
      </w:r>
      <w:r w:rsidRPr="007E0CA7">
        <w:rPr>
          <w:rFonts w:hint="cs"/>
          <w:b/>
          <w:bCs/>
          <w:sz w:val="20"/>
          <w:szCs w:val="20"/>
          <w:rtl/>
        </w:rPr>
        <w:t>י</w:t>
      </w:r>
      <w:r w:rsidRPr="007E0CA7">
        <w:rPr>
          <w:sz w:val="20"/>
          <w:szCs w:val="20"/>
          <w:rtl/>
        </w:rPr>
        <w:t xml:space="preserve">כאון, ואני מזהה אותה עם הקיום עצמו, בלשון היידגריאנית הייתי מכנה אותה כישותו של היש, וכשישותו של היש נפתחת לפני היא מתגלה כתענוג עמוק, כעונג שבת. </w:t>
      </w:r>
    </w:p>
    <w:p w:rsidR="007E0CA7" w:rsidRPr="007E0CA7" w:rsidRDefault="007E0CA7" w:rsidP="007E0CA7">
      <w:pPr>
        <w:jc w:val="both"/>
        <w:rPr>
          <w:sz w:val="20"/>
          <w:szCs w:val="20"/>
          <w:rtl/>
        </w:rPr>
      </w:pPr>
      <w:r w:rsidRPr="007E0CA7">
        <w:rPr>
          <w:sz w:val="20"/>
          <w:szCs w:val="20"/>
          <w:rtl/>
        </w:rPr>
        <w:t>אחד מהזיהויים הבסיסים של הקדושה הינו העונג, זיהוי הנמצא כבר בתנ"ך בישעיהו. ברצוני לקרוא פיסקה מאחד ממאמריו של הסבא מסלובדקה. ישעיהו פרק נח:(יג) אם תשיב משבת רגלך עשות חפציך ביום קדשי וקראת לשבת ענג לקדוש ידוד מכבד וכבדתו מעשות דרכיך ממצוא חפצך ודבר דבר:</w:t>
      </w:r>
    </w:p>
    <w:p w:rsidR="007E0CA7" w:rsidRPr="007E0CA7" w:rsidRDefault="007E0CA7" w:rsidP="007E0CA7">
      <w:pPr>
        <w:pStyle w:val="3"/>
        <w:jc w:val="both"/>
        <w:rPr>
          <w:rFonts w:ascii="Times New Roman" w:hAnsi="Times New Roman" w:cs="Times New Roman"/>
          <w:b w:val="0"/>
          <w:bCs w:val="0"/>
          <w:sz w:val="20"/>
          <w:szCs w:val="20"/>
          <w:rtl/>
        </w:rPr>
      </w:pPr>
      <w:r w:rsidRPr="007E0CA7">
        <w:rPr>
          <w:rFonts w:ascii="Times New Roman" w:hAnsi="Times New Roman" w:cs="Times New Roman"/>
          <w:b w:val="0"/>
          <w:bCs w:val="0"/>
          <w:sz w:val="20"/>
          <w:szCs w:val="20"/>
          <w:rtl/>
        </w:rPr>
        <w:t xml:space="preserve">(יד) אז תתענג על ידוד והרכבתיך על במותי במתי ארץ והאכלתיך נחלת יעקב אביך כי פי ידוד דבר: נחמיה פרק ח: (י) ויאמר להם לכו אכלו משמנים ושתו ממתקים ושלחו מנות לאין נכון לו כי קדוש היום לאדנינו </w:t>
      </w:r>
      <w:r w:rsidRPr="007E0CA7">
        <w:rPr>
          <w:rFonts w:ascii="Times New Roman" w:hAnsi="Times New Roman" w:cs="Times New Roman"/>
          <w:b w:val="0"/>
          <w:bCs w:val="0"/>
          <w:sz w:val="20"/>
          <w:szCs w:val="20"/>
          <w:rtl/>
        </w:rPr>
        <w:lastRenderedPageBreak/>
        <w:t xml:space="preserve">ואל תעצבו כי חדות ידוד היא מעזכם: הסמל של העונג הינו השמן. ושמן משחת קודש הנושא לא פעם  בקבלה ואפילו בתנ"ך גוון אירוטי. משלי פרק ה: ג) כי נפת תטפנה שפתי זרה וחלק משמן חכה: שיר השירים פרק א: ג) לריח שמניך טובים שמן תורק שמך על כן עלמות אהבוך: </w:t>
      </w:r>
    </w:p>
    <w:p w:rsidR="007E0CA7" w:rsidRPr="007E0CA7" w:rsidRDefault="007E0CA7" w:rsidP="007E0CA7">
      <w:pPr>
        <w:pStyle w:val="3"/>
        <w:jc w:val="both"/>
        <w:rPr>
          <w:rFonts w:ascii="Times New Roman" w:hAnsi="Times New Roman" w:cs="Times New Roman"/>
          <w:b w:val="0"/>
          <w:bCs w:val="0"/>
          <w:sz w:val="20"/>
          <w:szCs w:val="20"/>
          <w:rtl/>
        </w:rPr>
      </w:pPr>
      <w:r w:rsidRPr="007E0CA7">
        <w:rPr>
          <w:rFonts w:ascii="Times New Roman" w:hAnsi="Times New Roman" w:cs="Times New Roman"/>
          <w:b w:val="0"/>
          <w:bCs w:val="0"/>
          <w:sz w:val="20"/>
          <w:szCs w:val="20"/>
          <w:rtl/>
        </w:rPr>
        <w:t>2. משום מה לא מונה אוטו בין הרגשות העצמיות שמעורר בנו הנומינוזי כפי שהוא מכנה את הקדושה, הקרוב ביותר בתיאורים שלו הינו של ה'מקסים'. נראה לי שהסיבה לכך הינה שהוא מזהה כמובן מאליו, את הקדושה עם טרנסצנדט</w:t>
      </w:r>
      <w:r w:rsidRPr="007E0CA7">
        <w:rPr>
          <w:rFonts w:ascii="Times New Roman" w:hAnsi="Times New Roman" w:cs="Times New Roman" w:hint="cs"/>
          <w:b w:val="0"/>
          <w:bCs w:val="0"/>
          <w:sz w:val="20"/>
          <w:szCs w:val="20"/>
          <w:rtl/>
        </w:rPr>
        <w:t>א</w:t>
      </w:r>
      <w:r w:rsidRPr="007E0CA7">
        <w:rPr>
          <w:rFonts w:ascii="Times New Roman" w:hAnsi="Times New Roman" w:cs="Times New Roman"/>
          <w:b w:val="0"/>
          <w:bCs w:val="0"/>
          <w:sz w:val="20"/>
          <w:szCs w:val="20"/>
          <w:rtl/>
        </w:rPr>
        <w:t>ליות וכאן הקדושה כעונג הינה מופע אימננטי הנוכח בליבם של הדברים, כישותם, כלשדם. המופע של האימננטיות לכשעצמה. זאת ועוד, זהו עונג שאני מזהה אותו כעונג יהודי, מאד יהודי. ההתענגות של היהודי בקיומו כיהודי, עונ</w:t>
      </w:r>
      <w:r w:rsidRPr="007E0CA7">
        <w:rPr>
          <w:rFonts w:ascii="Times New Roman" w:hAnsi="Times New Roman" w:cs="Times New Roman" w:hint="cs"/>
          <w:b w:val="0"/>
          <w:bCs w:val="0"/>
          <w:sz w:val="20"/>
          <w:szCs w:val="20"/>
          <w:rtl/>
        </w:rPr>
        <w:t>ג</w:t>
      </w:r>
      <w:r w:rsidRPr="007E0CA7">
        <w:rPr>
          <w:rFonts w:ascii="Times New Roman" w:hAnsi="Times New Roman" w:cs="Times New Roman"/>
          <w:b w:val="0"/>
          <w:bCs w:val="0"/>
          <w:sz w:val="20"/>
          <w:szCs w:val="20"/>
          <w:rtl/>
        </w:rPr>
        <w:t xml:space="preserve"> המל</w:t>
      </w:r>
      <w:r w:rsidRPr="007E0CA7">
        <w:rPr>
          <w:rFonts w:ascii="Times New Roman" w:hAnsi="Times New Roman" w:cs="Times New Roman" w:hint="cs"/>
          <w:b w:val="0"/>
          <w:bCs w:val="0"/>
          <w:sz w:val="20"/>
          <w:szCs w:val="20"/>
          <w:rtl/>
        </w:rPr>
        <w:t>ו</w:t>
      </w:r>
      <w:r w:rsidRPr="007E0CA7">
        <w:rPr>
          <w:rFonts w:ascii="Times New Roman" w:hAnsi="Times New Roman" w:cs="Times New Roman"/>
          <w:b w:val="0"/>
          <w:bCs w:val="0"/>
          <w:sz w:val="20"/>
          <w:szCs w:val="20"/>
          <w:rtl/>
        </w:rPr>
        <w:t>וה בהרמוניה עמוקה מאד. בספרות ובעיקר בעיתונות החרדית אוהבים מאד לה</w:t>
      </w:r>
      <w:r w:rsidRPr="007E0CA7">
        <w:rPr>
          <w:rFonts w:ascii="Times New Roman" w:hAnsi="Times New Roman" w:cs="Times New Roman" w:hint="cs"/>
          <w:b w:val="0"/>
          <w:bCs w:val="0"/>
          <w:sz w:val="20"/>
          <w:szCs w:val="20"/>
          <w:rtl/>
        </w:rPr>
        <w:t>י</w:t>
      </w:r>
      <w:r w:rsidRPr="007E0CA7">
        <w:rPr>
          <w:rFonts w:ascii="Times New Roman" w:hAnsi="Times New Roman" w:cs="Times New Roman"/>
          <w:b w:val="0"/>
          <w:bCs w:val="0"/>
          <w:sz w:val="20"/>
          <w:szCs w:val="20"/>
          <w:rtl/>
        </w:rPr>
        <w:t xml:space="preserve">אחז בהופעה זו של קדושה סביב שולחן שבת, יחסים משפחתיים. רוח הארת פנים לכידות, אחדות לבבות העשויה לשרור סביב שולחן זה, ובלי לגלוש לתיאורים שמלציים, הרמוניה כזו של עונג של הויה המתענגת על עצמה והתופסת את עצמה כהויה יהודית אני חש לא פעם בשבת. </w:t>
      </w:r>
    </w:p>
    <w:p w:rsidR="007E0CA7" w:rsidRPr="007E0CA7" w:rsidRDefault="007E0CA7" w:rsidP="007E0CA7">
      <w:pPr>
        <w:pStyle w:val="3"/>
        <w:jc w:val="both"/>
        <w:rPr>
          <w:rFonts w:ascii="Times New Roman" w:hAnsi="Times New Roman" w:cs="Times New Roman"/>
          <w:b w:val="0"/>
          <w:bCs w:val="0"/>
          <w:sz w:val="20"/>
          <w:szCs w:val="20"/>
          <w:rtl/>
        </w:rPr>
      </w:pPr>
      <w:r w:rsidRPr="007E0CA7">
        <w:rPr>
          <w:rFonts w:ascii="Times New Roman" w:hAnsi="Times New Roman" w:cs="Times New Roman"/>
          <w:b w:val="0"/>
          <w:bCs w:val="0"/>
          <w:sz w:val="20"/>
          <w:szCs w:val="20"/>
          <w:rtl/>
        </w:rPr>
        <w:t>למעשה הצגה זו של קדושה הפוכה מהאופן שבו הקדושה מוצגת בעולם המודרני ובעיקר הפ"מ אצל הוגי דעות כלוינס ודר</w:t>
      </w:r>
      <w:r w:rsidRPr="007E0CA7">
        <w:rPr>
          <w:rFonts w:ascii="Times New Roman" w:hAnsi="Times New Roman" w:cs="Times New Roman" w:hint="cs"/>
          <w:b w:val="0"/>
          <w:bCs w:val="0"/>
          <w:sz w:val="20"/>
          <w:szCs w:val="20"/>
          <w:rtl/>
        </w:rPr>
        <w:t>י</w:t>
      </w:r>
      <w:r w:rsidRPr="007E0CA7">
        <w:rPr>
          <w:rFonts w:ascii="Times New Roman" w:hAnsi="Times New Roman" w:cs="Times New Roman"/>
          <w:b w:val="0"/>
          <w:bCs w:val="0"/>
          <w:sz w:val="20"/>
          <w:szCs w:val="20"/>
          <w:rtl/>
        </w:rPr>
        <w:t xml:space="preserve">דה. הללו מדברים על הקדושה כהיצג של ה'אחר' כאחרות. קדושתו של האחר, שהינה המקור אצל הראשון לצו המוסרי. זהו הד של מחלוקת קדומה יותר, כבר בתנ"ך אנו מוצאים את הקדושה כהופעה של הנשגב, הנורא והאיום. 'קדוש ונורא שמו'. לעיתים אפילו כהופעה הרסנית </w:t>
      </w:r>
      <w:r w:rsidRPr="007E0CA7">
        <w:rPr>
          <w:rFonts w:ascii="Times New Roman" w:hAnsi="Times New Roman" w:cs="Times New Roman"/>
          <w:b w:val="0"/>
          <w:bCs w:val="0"/>
          <w:sz w:val="20"/>
          <w:szCs w:val="20"/>
          <w:u w:val="single"/>
          <w:rtl/>
        </w:rPr>
        <w:t>במדבר פרק ד: (כ)</w:t>
      </w:r>
      <w:r w:rsidRPr="007E0CA7">
        <w:rPr>
          <w:rFonts w:ascii="Times New Roman" w:hAnsi="Times New Roman" w:cs="Times New Roman"/>
          <w:b w:val="0"/>
          <w:bCs w:val="0"/>
          <w:sz w:val="20"/>
          <w:szCs w:val="20"/>
          <w:rtl/>
        </w:rPr>
        <w:t xml:space="preserve"> ולא יבאו לראות כבלע את הקדש ומתו:</w:t>
      </w:r>
      <w:r w:rsidRPr="007E0CA7">
        <w:rPr>
          <w:rFonts w:ascii="Times New Roman" w:hAnsi="Times New Roman" w:cs="Times New Roman"/>
          <w:b w:val="0"/>
          <w:bCs w:val="0"/>
          <w:sz w:val="20"/>
          <w:szCs w:val="20"/>
          <w:u w:val="single"/>
          <w:rtl/>
        </w:rPr>
        <w:t xml:space="preserve"> שמות פרק יט,(י)</w:t>
      </w:r>
      <w:r w:rsidRPr="007E0CA7">
        <w:rPr>
          <w:rFonts w:ascii="Times New Roman" w:hAnsi="Times New Roman" w:cs="Times New Roman"/>
          <w:b w:val="0"/>
          <w:bCs w:val="0"/>
          <w:sz w:val="20"/>
          <w:szCs w:val="20"/>
          <w:rtl/>
        </w:rPr>
        <w:t xml:space="preserve"> ויאמר ידוד אל משה לך אל העם וקדשתם היום ומחר וכבסו שמלתם:</w:t>
      </w:r>
    </w:p>
    <w:p w:rsidR="007E0CA7" w:rsidRPr="007E0CA7" w:rsidRDefault="007E0CA7" w:rsidP="007E0CA7">
      <w:pPr>
        <w:pStyle w:val="3"/>
        <w:jc w:val="both"/>
        <w:rPr>
          <w:rFonts w:ascii="Times New Roman" w:hAnsi="Times New Roman" w:cs="Times New Roman"/>
          <w:b w:val="0"/>
          <w:bCs w:val="0"/>
          <w:sz w:val="20"/>
          <w:szCs w:val="20"/>
          <w:rtl/>
        </w:rPr>
      </w:pPr>
      <w:r w:rsidRPr="007E0CA7">
        <w:rPr>
          <w:rFonts w:ascii="Times New Roman" w:hAnsi="Times New Roman" w:cs="Times New Roman"/>
          <w:b w:val="0"/>
          <w:bCs w:val="0"/>
          <w:sz w:val="20"/>
          <w:szCs w:val="20"/>
          <w:rtl/>
        </w:rPr>
        <w:t>(יא) והיו נכ</w:t>
      </w:r>
      <w:r w:rsidRPr="007E0CA7">
        <w:rPr>
          <w:rFonts w:ascii="Times New Roman" w:hAnsi="Times New Roman" w:cs="Times New Roman" w:hint="cs"/>
          <w:b w:val="0"/>
          <w:bCs w:val="0"/>
          <w:sz w:val="20"/>
          <w:szCs w:val="20"/>
          <w:rtl/>
        </w:rPr>
        <w:t>ו</w:t>
      </w:r>
      <w:r w:rsidRPr="007E0CA7">
        <w:rPr>
          <w:rFonts w:ascii="Times New Roman" w:hAnsi="Times New Roman" w:cs="Times New Roman"/>
          <w:b w:val="0"/>
          <w:bCs w:val="0"/>
          <w:sz w:val="20"/>
          <w:szCs w:val="20"/>
          <w:rtl/>
        </w:rPr>
        <w:t>נים ליום השלישי כי ביום השלשי ירד ידוד לעיני כל העם על הר סיני:</w:t>
      </w:r>
    </w:p>
    <w:p w:rsidR="007E0CA7" w:rsidRPr="007E0CA7" w:rsidRDefault="007E0CA7" w:rsidP="007E0CA7">
      <w:pPr>
        <w:pStyle w:val="3"/>
        <w:jc w:val="both"/>
        <w:rPr>
          <w:rFonts w:ascii="Times New Roman" w:hAnsi="Times New Roman" w:cs="Times New Roman"/>
          <w:b w:val="0"/>
          <w:bCs w:val="0"/>
          <w:sz w:val="20"/>
          <w:szCs w:val="20"/>
          <w:rtl/>
        </w:rPr>
      </w:pPr>
      <w:r w:rsidRPr="007E0CA7">
        <w:rPr>
          <w:rFonts w:ascii="Times New Roman" w:hAnsi="Times New Roman" w:cs="Times New Roman"/>
          <w:b w:val="0"/>
          <w:bCs w:val="0"/>
          <w:sz w:val="20"/>
          <w:szCs w:val="20"/>
          <w:rtl/>
        </w:rPr>
        <w:t>(יב) והגבלת את העם סביב לאמר השמרו לכם עלות בהר ונגע בקצהו כל הנגע בהר מות יומת:</w:t>
      </w:r>
    </w:p>
    <w:p w:rsidR="007E0CA7" w:rsidRPr="007E0CA7" w:rsidRDefault="007E0CA7" w:rsidP="007E0CA7">
      <w:pPr>
        <w:pStyle w:val="3"/>
        <w:jc w:val="both"/>
        <w:rPr>
          <w:rFonts w:ascii="Times New Roman" w:hAnsi="Times New Roman" w:cs="Times New Roman"/>
          <w:b w:val="0"/>
          <w:bCs w:val="0"/>
          <w:sz w:val="20"/>
          <w:szCs w:val="20"/>
          <w:rtl/>
        </w:rPr>
      </w:pPr>
      <w:r w:rsidRPr="007E0CA7">
        <w:rPr>
          <w:rFonts w:ascii="Times New Roman" w:hAnsi="Times New Roman" w:cs="Times New Roman"/>
          <w:b w:val="0"/>
          <w:bCs w:val="0"/>
          <w:sz w:val="20"/>
          <w:szCs w:val="20"/>
          <w:rtl/>
        </w:rPr>
        <w:t>(יג) לא ת</w:t>
      </w:r>
      <w:r w:rsidRPr="007E0CA7">
        <w:rPr>
          <w:rFonts w:ascii="Times New Roman" w:hAnsi="Times New Roman" w:cs="Times New Roman" w:hint="cs"/>
          <w:b w:val="0"/>
          <w:bCs w:val="0"/>
          <w:sz w:val="20"/>
          <w:szCs w:val="20"/>
          <w:rtl/>
        </w:rPr>
        <w:t>י</w:t>
      </w:r>
      <w:r w:rsidRPr="007E0CA7">
        <w:rPr>
          <w:rFonts w:ascii="Times New Roman" w:hAnsi="Times New Roman" w:cs="Times New Roman"/>
          <w:b w:val="0"/>
          <w:bCs w:val="0"/>
          <w:sz w:val="20"/>
          <w:szCs w:val="20"/>
          <w:rtl/>
        </w:rPr>
        <w:t>גע בו יד כי סקול יסקל או ירה יירה אם בהמה אם איש לא יחיה במשך הי</w:t>
      </w:r>
      <w:r w:rsidRPr="007E0CA7">
        <w:rPr>
          <w:rFonts w:ascii="Times New Roman" w:hAnsi="Times New Roman" w:cs="Times New Roman" w:hint="cs"/>
          <w:b w:val="0"/>
          <w:bCs w:val="0"/>
          <w:sz w:val="20"/>
          <w:szCs w:val="20"/>
          <w:rtl/>
        </w:rPr>
        <w:t>ו</w:t>
      </w:r>
      <w:r w:rsidRPr="007E0CA7">
        <w:rPr>
          <w:rFonts w:ascii="Times New Roman" w:hAnsi="Times New Roman" w:cs="Times New Roman"/>
          <w:b w:val="0"/>
          <w:bCs w:val="0"/>
          <w:sz w:val="20"/>
          <w:szCs w:val="20"/>
          <w:rtl/>
        </w:rPr>
        <w:t xml:space="preserve">בל המה יעלו בהר: </w:t>
      </w:r>
    </w:p>
    <w:p w:rsidR="007E0CA7" w:rsidRPr="007E0CA7" w:rsidRDefault="007E0CA7" w:rsidP="007E0CA7">
      <w:pPr>
        <w:pStyle w:val="3"/>
        <w:jc w:val="both"/>
        <w:rPr>
          <w:rFonts w:ascii="Times New Roman" w:hAnsi="Times New Roman" w:cs="Times New Roman"/>
          <w:b w:val="0"/>
          <w:bCs w:val="0"/>
          <w:sz w:val="20"/>
          <w:szCs w:val="20"/>
          <w:rtl/>
        </w:rPr>
      </w:pPr>
      <w:r w:rsidRPr="007E0CA7">
        <w:rPr>
          <w:rFonts w:ascii="Times New Roman" w:hAnsi="Times New Roman" w:cs="Times New Roman"/>
          <w:b w:val="0"/>
          <w:bCs w:val="0"/>
          <w:sz w:val="20"/>
          <w:szCs w:val="20"/>
          <w:rtl/>
        </w:rPr>
        <w:t>לעונג זה מצטרפים מאכלי השבת השמנים בדרך כלל. בספרי חסידות מוסבר שהשלום של השבת הינו קודם לכל שלום שבין הגוף לנשמה, הנשמה היתירה של השבת היא כך מפרש רש"י נשמה יתירה לאכול ולשתות. ישנו ויכוח נצחי ביני לבין ילדי לגבי סעודת ליל שבת, הללו רוצים לאכול סעודה חלבית ואני חש בכך פגיעה בעונג שבת, אבל לכל אחד העונג שלו, ואינך יכול לכפות עלינו את העונג שלך הם טוענים בצדק לעומתי. אבל אני עונה להם, שזהו חסרון ביהדות שלהם.</w:t>
      </w:r>
      <w:r w:rsidRPr="007E0CA7">
        <w:rPr>
          <w:rFonts w:ascii="Times New Roman" w:hAnsi="Times New Roman" w:cs="Times New Roman" w:hint="cs"/>
          <w:b w:val="0"/>
          <w:bCs w:val="0"/>
          <w:sz w:val="20"/>
          <w:szCs w:val="20"/>
          <w:rtl/>
        </w:rPr>
        <w:t>..</w:t>
      </w:r>
      <w:r w:rsidRPr="007E0CA7">
        <w:rPr>
          <w:rFonts w:ascii="Times New Roman" w:hAnsi="Times New Roman" w:cs="Times New Roman"/>
          <w:b w:val="0"/>
          <w:bCs w:val="0"/>
          <w:sz w:val="20"/>
          <w:szCs w:val="20"/>
          <w:rtl/>
        </w:rPr>
        <w:t xml:space="preserve"> </w:t>
      </w:r>
    </w:p>
    <w:p w:rsidR="007E0CA7" w:rsidRPr="007E0CA7" w:rsidRDefault="007E0CA7" w:rsidP="007E0CA7">
      <w:pPr>
        <w:pStyle w:val="3"/>
        <w:jc w:val="both"/>
        <w:rPr>
          <w:rFonts w:ascii="Times New Roman" w:hAnsi="Times New Roman" w:cs="Times New Roman"/>
          <w:b w:val="0"/>
          <w:bCs w:val="0"/>
          <w:sz w:val="20"/>
          <w:szCs w:val="20"/>
          <w:rtl/>
        </w:rPr>
      </w:pPr>
      <w:r w:rsidRPr="007E0CA7">
        <w:rPr>
          <w:rFonts w:ascii="Times New Roman" w:hAnsi="Times New Roman" w:cs="Times New Roman"/>
          <w:b w:val="0"/>
          <w:bCs w:val="0"/>
          <w:sz w:val="20"/>
          <w:szCs w:val="20"/>
          <w:rtl/>
        </w:rPr>
        <w:t>מה היחס בין חו</w:t>
      </w:r>
      <w:r w:rsidRPr="007E0CA7">
        <w:rPr>
          <w:rFonts w:ascii="Times New Roman" w:hAnsi="Times New Roman" w:cs="Times New Roman" w:hint="cs"/>
          <w:b w:val="0"/>
          <w:bCs w:val="0"/>
          <w:sz w:val="20"/>
          <w:szCs w:val="20"/>
          <w:rtl/>
        </w:rPr>
        <w:t>ו</w:t>
      </w:r>
      <w:r w:rsidRPr="007E0CA7">
        <w:rPr>
          <w:rFonts w:ascii="Times New Roman" w:hAnsi="Times New Roman" w:cs="Times New Roman"/>
          <w:b w:val="0"/>
          <w:bCs w:val="0"/>
          <w:sz w:val="20"/>
          <w:szCs w:val="20"/>
          <w:rtl/>
        </w:rPr>
        <w:t>ית קדושה יהודית זאת לבין חו</w:t>
      </w:r>
      <w:r w:rsidRPr="007E0CA7">
        <w:rPr>
          <w:rFonts w:ascii="Times New Roman" w:hAnsi="Times New Roman" w:cs="Times New Roman" w:hint="cs"/>
          <w:b w:val="0"/>
          <w:bCs w:val="0"/>
          <w:sz w:val="20"/>
          <w:szCs w:val="20"/>
          <w:rtl/>
        </w:rPr>
        <w:t>ו</w:t>
      </w:r>
      <w:r w:rsidRPr="007E0CA7">
        <w:rPr>
          <w:rFonts w:ascii="Times New Roman" w:hAnsi="Times New Roman" w:cs="Times New Roman"/>
          <w:b w:val="0"/>
          <w:bCs w:val="0"/>
          <w:sz w:val="20"/>
          <w:szCs w:val="20"/>
          <w:rtl/>
        </w:rPr>
        <w:t>ית קדושה שאני עשוי לחוש בטבע. לעיתים, כשאני יוצא מהעיר, בגבעת הדגן בה אני מלמד או בטיול, חו</w:t>
      </w:r>
      <w:r w:rsidRPr="007E0CA7">
        <w:rPr>
          <w:rFonts w:ascii="Times New Roman" w:hAnsi="Times New Roman" w:cs="Times New Roman" w:hint="cs"/>
          <w:b w:val="0"/>
          <w:bCs w:val="0"/>
          <w:sz w:val="20"/>
          <w:szCs w:val="20"/>
          <w:rtl/>
        </w:rPr>
        <w:t>ו</w:t>
      </w:r>
      <w:r w:rsidRPr="007E0CA7">
        <w:rPr>
          <w:rFonts w:ascii="Times New Roman" w:hAnsi="Times New Roman" w:cs="Times New Roman"/>
          <w:b w:val="0"/>
          <w:bCs w:val="0"/>
          <w:sz w:val="20"/>
          <w:szCs w:val="20"/>
          <w:rtl/>
        </w:rPr>
        <w:t xml:space="preserve">יה  שגם היא מלוה בשקט עמוק בהרמוניה ושלוה ונוכחות. 'הדור </w:t>
      </w:r>
      <w:r w:rsidRPr="007E0CA7">
        <w:rPr>
          <w:rFonts w:ascii="Times New Roman" w:hAnsi="Times New Roman" w:cs="Times New Roman" w:hint="cs"/>
          <w:b w:val="0"/>
          <w:bCs w:val="0"/>
          <w:sz w:val="20"/>
          <w:szCs w:val="20"/>
          <w:rtl/>
        </w:rPr>
        <w:t>נ</w:t>
      </w:r>
      <w:r w:rsidRPr="007E0CA7">
        <w:rPr>
          <w:rFonts w:ascii="Times New Roman" w:hAnsi="Times New Roman" w:cs="Times New Roman"/>
          <w:b w:val="0"/>
          <w:bCs w:val="0"/>
          <w:sz w:val="20"/>
          <w:szCs w:val="20"/>
          <w:rtl/>
        </w:rPr>
        <w:t>אה זיו העולם'. זיו זה הוא במונחים חסידיים אור מקיף, הוא מקיף את הדברים אופף אותם. העולם הופך לחגיגי, כמו אז כשהיינו ילדים, לראשוני, הוא מקבל  חדות, ורעננות ואני חש את עצמי כחלק ממנה. נראה לי שהסיבה שדוחפת אנשים רבים לטייל היא ד</w:t>
      </w:r>
      <w:r w:rsidRPr="007E0CA7">
        <w:rPr>
          <w:rFonts w:ascii="Times New Roman" w:hAnsi="Times New Roman" w:cs="Times New Roman" w:hint="cs"/>
          <w:b w:val="0"/>
          <w:bCs w:val="0"/>
          <w:sz w:val="20"/>
          <w:szCs w:val="20"/>
          <w:rtl/>
        </w:rPr>
        <w:t>ו</w:t>
      </w:r>
      <w:r w:rsidRPr="007E0CA7">
        <w:rPr>
          <w:rFonts w:ascii="Times New Roman" w:hAnsi="Times New Roman" w:cs="Times New Roman"/>
          <w:b w:val="0"/>
          <w:bCs w:val="0"/>
          <w:sz w:val="20"/>
          <w:szCs w:val="20"/>
          <w:rtl/>
        </w:rPr>
        <w:t>וקא ח</w:t>
      </w:r>
      <w:r w:rsidRPr="007E0CA7">
        <w:rPr>
          <w:rFonts w:ascii="Times New Roman" w:hAnsi="Times New Roman" w:cs="Times New Roman" w:hint="cs"/>
          <w:b w:val="0"/>
          <w:bCs w:val="0"/>
          <w:sz w:val="20"/>
          <w:szCs w:val="20"/>
          <w:rtl/>
        </w:rPr>
        <w:t>ו</w:t>
      </w:r>
      <w:r w:rsidRPr="007E0CA7">
        <w:rPr>
          <w:rFonts w:ascii="Times New Roman" w:hAnsi="Times New Roman" w:cs="Times New Roman"/>
          <w:b w:val="0"/>
          <w:bCs w:val="0"/>
          <w:sz w:val="20"/>
          <w:szCs w:val="20"/>
          <w:rtl/>
        </w:rPr>
        <w:t>ויה זו, שאני קורה לה חו</w:t>
      </w:r>
      <w:r w:rsidRPr="007E0CA7">
        <w:rPr>
          <w:rFonts w:ascii="Times New Roman" w:hAnsi="Times New Roman" w:cs="Times New Roman" w:hint="cs"/>
          <w:b w:val="0"/>
          <w:bCs w:val="0"/>
          <w:sz w:val="20"/>
          <w:szCs w:val="20"/>
          <w:rtl/>
        </w:rPr>
        <w:t>ו</w:t>
      </w:r>
      <w:r w:rsidRPr="007E0CA7">
        <w:rPr>
          <w:rFonts w:ascii="Times New Roman" w:hAnsi="Times New Roman" w:cs="Times New Roman"/>
          <w:b w:val="0"/>
          <w:bCs w:val="0"/>
          <w:sz w:val="20"/>
          <w:szCs w:val="20"/>
          <w:rtl/>
        </w:rPr>
        <w:t>ית קדושה. לרוב היא באה ד</w:t>
      </w:r>
      <w:r w:rsidRPr="007E0CA7">
        <w:rPr>
          <w:rFonts w:ascii="Times New Roman" w:hAnsi="Times New Roman" w:cs="Times New Roman" w:hint="cs"/>
          <w:b w:val="0"/>
          <w:bCs w:val="0"/>
          <w:sz w:val="20"/>
          <w:szCs w:val="20"/>
          <w:rtl/>
        </w:rPr>
        <w:t>ו</w:t>
      </w:r>
      <w:r w:rsidRPr="007E0CA7">
        <w:rPr>
          <w:rFonts w:ascii="Times New Roman" w:hAnsi="Times New Roman" w:cs="Times New Roman"/>
          <w:b w:val="0"/>
          <w:bCs w:val="0"/>
          <w:sz w:val="20"/>
          <w:szCs w:val="20"/>
          <w:rtl/>
        </w:rPr>
        <w:t>וקא בהיסח הדעת, לעיתים כשכבר נופלת עלינו עייפות שגורמת לנו להפסיק לעמוד על המשמר. חו</w:t>
      </w:r>
      <w:r w:rsidRPr="007E0CA7">
        <w:rPr>
          <w:rFonts w:ascii="Times New Roman" w:hAnsi="Times New Roman" w:cs="Times New Roman" w:hint="cs"/>
          <w:b w:val="0"/>
          <w:bCs w:val="0"/>
          <w:sz w:val="20"/>
          <w:szCs w:val="20"/>
          <w:rtl/>
        </w:rPr>
        <w:t>ו</w:t>
      </w:r>
      <w:r w:rsidRPr="007E0CA7">
        <w:rPr>
          <w:rFonts w:ascii="Times New Roman" w:hAnsi="Times New Roman" w:cs="Times New Roman"/>
          <w:b w:val="0"/>
          <w:bCs w:val="0"/>
          <w:sz w:val="20"/>
          <w:szCs w:val="20"/>
          <w:rtl/>
        </w:rPr>
        <w:t>יה כזו שגם היא עשויה להיות חו</w:t>
      </w:r>
      <w:r w:rsidRPr="007E0CA7">
        <w:rPr>
          <w:rFonts w:ascii="Times New Roman" w:hAnsi="Times New Roman" w:cs="Times New Roman" w:hint="cs"/>
          <w:b w:val="0"/>
          <w:bCs w:val="0"/>
          <w:sz w:val="20"/>
          <w:szCs w:val="20"/>
          <w:rtl/>
        </w:rPr>
        <w:t>ו</w:t>
      </w:r>
      <w:r w:rsidRPr="007E0CA7">
        <w:rPr>
          <w:rFonts w:ascii="Times New Roman" w:hAnsi="Times New Roman" w:cs="Times New Roman"/>
          <w:b w:val="0"/>
          <w:bCs w:val="0"/>
          <w:sz w:val="20"/>
          <w:szCs w:val="20"/>
          <w:rtl/>
        </w:rPr>
        <w:t>יה שבתית, לא מזוהה אצלי עם הקדושה היהודית אלא אולי ד</w:t>
      </w:r>
      <w:r w:rsidRPr="007E0CA7">
        <w:rPr>
          <w:rFonts w:ascii="Times New Roman" w:hAnsi="Times New Roman" w:cs="Times New Roman" w:hint="cs"/>
          <w:b w:val="0"/>
          <w:bCs w:val="0"/>
          <w:sz w:val="20"/>
          <w:szCs w:val="20"/>
          <w:rtl/>
        </w:rPr>
        <w:t>ו</w:t>
      </w:r>
      <w:r w:rsidRPr="007E0CA7">
        <w:rPr>
          <w:rFonts w:ascii="Times New Roman" w:hAnsi="Times New Roman" w:cs="Times New Roman"/>
          <w:b w:val="0"/>
          <w:bCs w:val="0"/>
          <w:sz w:val="20"/>
          <w:szCs w:val="20"/>
          <w:rtl/>
        </w:rPr>
        <w:t>וקא קדושה חילונית, חילונית אך לא חולית, שהיא כאמור ניגודה של הקדושה. שבת בראשית, וד</w:t>
      </w:r>
      <w:r w:rsidRPr="007E0CA7">
        <w:rPr>
          <w:rFonts w:ascii="Times New Roman" w:hAnsi="Times New Roman" w:cs="Times New Roman" w:hint="cs"/>
          <w:b w:val="0"/>
          <w:bCs w:val="0"/>
          <w:sz w:val="20"/>
          <w:szCs w:val="20"/>
          <w:rtl/>
        </w:rPr>
        <w:t>ו</w:t>
      </w:r>
      <w:r w:rsidRPr="007E0CA7">
        <w:rPr>
          <w:rFonts w:ascii="Times New Roman" w:hAnsi="Times New Roman" w:cs="Times New Roman"/>
          <w:b w:val="0"/>
          <w:bCs w:val="0"/>
          <w:sz w:val="20"/>
          <w:szCs w:val="20"/>
          <w:rtl/>
        </w:rPr>
        <w:t>וקא בתקופה זו של התחלת השנה והסתיו תחושות בראשית אלה מתחזקות אצלי. אבל ליתר דיוק הינה חו</w:t>
      </w:r>
      <w:r w:rsidRPr="007E0CA7">
        <w:rPr>
          <w:rFonts w:ascii="Times New Roman" w:hAnsi="Times New Roman" w:cs="Times New Roman" w:hint="cs"/>
          <w:b w:val="0"/>
          <w:bCs w:val="0"/>
          <w:sz w:val="20"/>
          <w:szCs w:val="20"/>
          <w:rtl/>
        </w:rPr>
        <w:t>ו</w:t>
      </w:r>
      <w:r w:rsidRPr="007E0CA7">
        <w:rPr>
          <w:rFonts w:ascii="Times New Roman" w:hAnsi="Times New Roman" w:cs="Times New Roman"/>
          <w:b w:val="0"/>
          <w:bCs w:val="0"/>
          <w:sz w:val="20"/>
          <w:szCs w:val="20"/>
          <w:rtl/>
        </w:rPr>
        <w:t>יה ארץ ישראל, כלומר, היא מזוהה אצלי כחו</w:t>
      </w:r>
      <w:r w:rsidRPr="007E0CA7">
        <w:rPr>
          <w:rFonts w:ascii="Times New Roman" w:hAnsi="Times New Roman" w:cs="Times New Roman" w:hint="cs"/>
          <w:b w:val="0"/>
          <w:bCs w:val="0"/>
          <w:sz w:val="20"/>
          <w:szCs w:val="20"/>
          <w:rtl/>
        </w:rPr>
        <w:t>ו</w:t>
      </w:r>
      <w:r w:rsidRPr="007E0CA7">
        <w:rPr>
          <w:rFonts w:ascii="Times New Roman" w:hAnsi="Times New Roman" w:cs="Times New Roman"/>
          <w:b w:val="0"/>
          <w:bCs w:val="0"/>
          <w:sz w:val="20"/>
          <w:szCs w:val="20"/>
          <w:rtl/>
        </w:rPr>
        <w:t>ית ארץ ישראל ציונית. ומה יהיה אם אטייל אי פעם באלפים? או בהימל</w:t>
      </w:r>
      <w:r w:rsidRPr="007E0CA7">
        <w:rPr>
          <w:rFonts w:ascii="Times New Roman" w:hAnsi="Times New Roman" w:cs="Times New Roman" w:hint="cs"/>
          <w:b w:val="0"/>
          <w:bCs w:val="0"/>
          <w:sz w:val="20"/>
          <w:szCs w:val="20"/>
          <w:rtl/>
        </w:rPr>
        <w:t>א</w:t>
      </w:r>
      <w:r w:rsidRPr="007E0CA7">
        <w:rPr>
          <w:rFonts w:ascii="Times New Roman" w:hAnsi="Times New Roman" w:cs="Times New Roman"/>
          <w:b w:val="0"/>
          <w:bCs w:val="0"/>
          <w:sz w:val="20"/>
          <w:szCs w:val="20"/>
          <w:rtl/>
        </w:rPr>
        <w:t>יה האם קדושה זו הינה קדושת א"י?</w:t>
      </w:r>
    </w:p>
    <w:p w:rsidR="00A612EE" w:rsidRPr="007E0CA7" w:rsidRDefault="007E0CA7" w:rsidP="007E0CA7">
      <w:pPr>
        <w:pStyle w:val="3"/>
        <w:jc w:val="both"/>
        <w:rPr>
          <w:rFonts w:hint="cs"/>
          <w:b w:val="0"/>
          <w:bCs w:val="0"/>
          <w:sz w:val="20"/>
          <w:szCs w:val="20"/>
          <w:rtl/>
        </w:rPr>
      </w:pPr>
      <w:r w:rsidRPr="007E0CA7">
        <w:rPr>
          <w:rFonts w:ascii="Times New Roman" w:hAnsi="Times New Roman" w:cs="Times New Roman"/>
          <w:b w:val="0"/>
          <w:bCs w:val="0"/>
          <w:sz w:val="20"/>
          <w:szCs w:val="20"/>
          <w:rtl/>
        </w:rPr>
        <w:t>למה זאת קדושה? באופן פשטני קדושה הינה נוכחותו של האלוקי. לאו דוקא האלוקי הפרסונלי, נוכחות של הטרנס', העולם שמשתנה בצורה כזו איננו העולם- יומי, הסיבתי וההישגי. נוכחתו המרגיעה רומזת לנצח, לעולם שמעבר.</w:t>
      </w:r>
      <w:r>
        <w:rPr>
          <w:rFonts w:ascii="Times New Roman" w:hAnsi="Times New Roman" w:cs="Times New Roman" w:hint="cs"/>
          <w:b w:val="0"/>
          <w:bCs w:val="0"/>
          <w:sz w:val="20"/>
          <w:szCs w:val="20"/>
          <w:rtl/>
        </w:rPr>
        <w:t>..</w:t>
      </w:r>
    </w:p>
    <w:p w:rsidR="0008118E" w:rsidRDefault="0008118E" w:rsidP="00A612EE">
      <w:pPr>
        <w:pStyle w:val="a3"/>
        <w:rPr>
          <w:rFonts w:hint="cs"/>
          <w:sz w:val="20"/>
          <w:szCs w:val="20"/>
          <w:rtl/>
        </w:rPr>
      </w:pPr>
    </w:p>
    <w:p w:rsidR="007E0CA7" w:rsidRPr="007E0CA7" w:rsidRDefault="007E0CA7" w:rsidP="00A612EE">
      <w:pPr>
        <w:pStyle w:val="a3"/>
        <w:rPr>
          <w:sz w:val="20"/>
          <w:szCs w:val="20"/>
        </w:rPr>
      </w:pPr>
      <w:r>
        <w:rPr>
          <w:rFonts w:hint="cs"/>
          <w:b/>
          <w:bCs/>
          <w:sz w:val="20"/>
          <w:szCs w:val="20"/>
          <w:rtl/>
        </w:rPr>
        <w:t xml:space="preserve">לצרף </w:t>
      </w:r>
      <w:r>
        <w:rPr>
          <w:rFonts w:hint="cs"/>
          <w:sz w:val="20"/>
          <w:szCs w:val="20"/>
          <w:rtl/>
        </w:rPr>
        <w:t xml:space="preserve">דיבור על עלייה לרגל כציווי של גברים, הקדושה הטרנסצנדנטית של התגלות שאיננה לנשים וילדים לעומת מצוות השמחה שהיא משפחתית </w:t>
      </w:r>
      <w:r>
        <w:rPr>
          <w:sz w:val="20"/>
          <w:szCs w:val="20"/>
          <w:rtl/>
        </w:rPr>
        <w:t>–</w:t>
      </w:r>
      <w:r>
        <w:rPr>
          <w:rFonts w:hint="cs"/>
          <w:sz w:val="20"/>
          <w:szCs w:val="20"/>
          <w:rtl/>
        </w:rPr>
        <w:t xml:space="preserve"> הוא ובניו ובני ביתו</w:t>
      </w:r>
      <w:r w:rsidR="0028614A">
        <w:rPr>
          <w:rFonts w:hint="cs"/>
          <w:sz w:val="20"/>
          <w:szCs w:val="20"/>
          <w:rtl/>
        </w:rPr>
        <w:t>. פרעה לעומת משה ביציאה לחוג במדבר.</w:t>
      </w:r>
    </w:p>
    <w:sectPr w:rsidR="007E0CA7" w:rsidRPr="007E0CA7" w:rsidSect="00A612EE">
      <w:pgSz w:w="11906" w:h="16838"/>
      <w:pgMar w:top="720" w:right="720" w:bottom="720" w:left="72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0CA7" w:rsidRDefault="007E0CA7" w:rsidP="007E0CA7">
      <w:r>
        <w:separator/>
      </w:r>
    </w:p>
  </w:endnote>
  <w:endnote w:type="continuationSeparator" w:id="1">
    <w:p w:rsidR="007E0CA7" w:rsidRDefault="007E0CA7" w:rsidP="007E0C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Guttman Kav-Light">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0CA7" w:rsidRDefault="007E0CA7" w:rsidP="007E0CA7">
      <w:r>
        <w:separator/>
      </w:r>
    </w:p>
  </w:footnote>
  <w:footnote w:type="continuationSeparator" w:id="1">
    <w:p w:rsidR="007E0CA7" w:rsidRDefault="007E0CA7" w:rsidP="007E0CA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A612EE"/>
    <w:rsid w:val="00005F8A"/>
    <w:rsid w:val="0008118E"/>
    <w:rsid w:val="0028614A"/>
    <w:rsid w:val="007E0CA7"/>
    <w:rsid w:val="00A612EE"/>
    <w:rsid w:val="00CA78F8"/>
    <w:rsid w:val="00CF21FD"/>
    <w:rsid w:val="00D6099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2EE"/>
    <w:pPr>
      <w:bidi/>
      <w:spacing w:after="0" w:line="240" w:lineRule="auto"/>
    </w:pPr>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612EE"/>
    <w:pPr>
      <w:bidi/>
      <w:spacing w:after="0" w:line="240" w:lineRule="auto"/>
    </w:pPr>
    <w:rPr>
      <w:rFonts w:ascii="Times New Roman" w:eastAsia="Times New Roman" w:hAnsi="Times New Roman"/>
      <w:sz w:val="24"/>
      <w:szCs w:val="24"/>
    </w:rPr>
  </w:style>
  <w:style w:type="paragraph" w:styleId="3">
    <w:name w:val="Body Text 3"/>
    <w:basedOn w:val="a"/>
    <w:link w:val="30"/>
    <w:rsid w:val="007E0CA7"/>
    <w:rPr>
      <w:rFonts w:ascii="Arial Narrow" w:hAnsi="Arial Narrow" w:cs="Guttman Kav-Light"/>
      <w:b/>
      <w:bCs/>
      <w:szCs w:val="28"/>
    </w:rPr>
  </w:style>
  <w:style w:type="character" w:customStyle="1" w:styleId="30">
    <w:name w:val="גוף טקסט 3 תו"/>
    <w:basedOn w:val="a0"/>
    <w:link w:val="3"/>
    <w:rsid w:val="007E0CA7"/>
    <w:rPr>
      <w:rFonts w:ascii="Arial Narrow" w:eastAsia="Times New Roman" w:hAnsi="Arial Narrow" w:cs="Guttman Kav-Light"/>
      <w:b/>
      <w:bCs/>
      <w:sz w:val="24"/>
      <w:szCs w:val="28"/>
    </w:rPr>
  </w:style>
  <w:style w:type="paragraph" w:styleId="a4">
    <w:name w:val="footnote text"/>
    <w:basedOn w:val="a"/>
    <w:link w:val="a5"/>
    <w:semiHidden/>
    <w:rsid w:val="007E0CA7"/>
    <w:rPr>
      <w:sz w:val="20"/>
      <w:szCs w:val="20"/>
    </w:rPr>
  </w:style>
  <w:style w:type="character" w:customStyle="1" w:styleId="a5">
    <w:name w:val="טקסט הערת שוליים תו"/>
    <w:basedOn w:val="a0"/>
    <w:link w:val="a4"/>
    <w:semiHidden/>
    <w:rsid w:val="007E0CA7"/>
    <w:rPr>
      <w:rFonts w:ascii="Times New Roman" w:eastAsia="Times New Roman" w:hAnsi="Times New Roman"/>
    </w:rPr>
  </w:style>
  <w:style w:type="character" w:styleId="a6">
    <w:name w:val="footnote reference"/>
    <w:basedOn w:val="a0"/>
    <w:semiHidden/>
    <w:rsid w:val="007E0CA7"/>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1127</Words>
  <Characters>5636</Characters>
  <Application>Microsoft Office Word</Application>
  <DocSecurity>0</DocSecurity>
  <Lines>46</Lines>
  <Paragraphs>13</Paragraphs>
  <ScaleCrop>false</ScaleCrop>
  <Company/>
  <LinksUpToDate>false</LinksUpToDate>
  <CharactersWithSpaces>6750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3</cp:revision>
  <dcterms:created xsi:type="dcterms:W3CDTF">2015-03-19T05:51:00Z</dcterms:created>
  <dcterms:modified xsi:type="dcterms:W3CDTF">2015-03-19T06:04:00Z</dcterms:modified>
</cp:coreProperties>
</file>