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14D4" w:rsidRPr="00BE5B20" w:rsidRDefault="005614D4" w:rsidP="00FA63CC">
      <w:pPr>
        <w:pStyle w:val="a3"/>
        <w:rPr>
          <w:rtl/>
        </w:rPr>
      </w:pPr>
      <w:r w:rsidRPr="00BE5B20">
        <w:rPr>
          <w:rFonts w:hint="cs"/>
          <w:rtl/>
        </w:rPr>
        <w:t>בס"ד, י"</w:t>
      </w:r>
      <w:r>
        <w:rPr>
          <w:rFonts w:hint="cs"/>
          <w:rtl/>
        </w:rPr>
        <w:t>ט</w:t>
      </w:r>
      <w:r w:rsidRPr="00BE5B20">
        <w:rPr>
          <w:rFonts w:hint="cs"/>
          <w:rtl/>
        </w:rPr>
        <w:t xml:space="preserve"> באדר</w:t>
      </w:r>
      <w:r w:rsidR="000F533D">
        <w:rPr>
          <w:rFonts w:hint="cs"/>
          <w:rtl/>
        </w:rPr>
        <w:t xml:space="preserve"> שני</w:t>
      </w:r>
      <w:r w:rsidRPr="00BE5B20">
        <w:rPr>
          <w:rFonts w:hint="cs"/>
          <w:rtl/>
        </w:rPr>
        <w:t xml:space="preserve"> </w:t>
      </w:r>
      <w:proofErr w:type="spellStart"/>
      <w:r w:rsidRPr="00BE5B20">
        <w:rPr>
          <w:rFonts w:hint="cs"/>
          <w:rtl/>
        </w:rPr>
        <w:t>התשע"ו</w:t>
      </w:r>
      <w:proofErr w:type="spellEnd"/>
    </w:p>
    <w:p w:rsidR="005614D4" w:rsidRPr="00BE5B20" w:rsidRDefault="005614D4" w:rsidP="00FA63CC">
      <w:pPr>
        <w:pStyle w:val="a3"/>
        <w:rPr>
          <w:rtl/>
        </w:rPr>
      </w:pPr>
    </w:p>
    <w:p w:rsidR="005614D4" w:rsidRPr="00BE5B20" w:rsidRDefault="005614D4" w:rsidP="00FA63CC">
      <w:pPr>
        <w:pStyle w:val="a3"/>
        <w:jc w:val="center"/>
        <w:rPr>
          <w:b/>
          <w:bCs/>
          <w:rtl/>
        </w:rPr>
      </w:pPr>
      <w:r w:rsidRPr="00BE5B20">
        <w:rPr>
          <w:rFonts w:hint="cs"/>
          <w:b/>
          <w:bCs/>
          <w:rtl/>
        </w:rPr>
        <w:t>שחר אבקשך</w:t>
      </w:r>
    </w:p>
    <w:p w:rsidR="0008118E" w:rsidRDefault="005614D4" w:rsidP="00FA63CC">
      <w:pPr>
        <w:pStyle w:val="a3"/>
        <w:jc w:val="center"/>
        <w:rPr>
          <w:rFonts w:hint="cs"/>
          <w:rtl/>
        </w:rPr>
      </w:pPr>
      <w:r w:rsidRPr="00BE5B20">
        <w:rPr>
          <w:rFonts w:hint="cs"/>
          <w:b/>
          <w:bCs/>
          <w:rtl/>
        </w:rPr>
        <w:t>ייחוד גוף ונשמה - מפגש 1</w:t>
      </w:r>
      <w:r>
        <w:rPr>
          <w:rFonts w:hint="cs"/>
          <w:b/>
          <w:bCs/>
          <w:rtl/>
        </w:rPr>
        <w:t>8</w:t>
      </w:r>
    </w:p>
    <w:p w:rsidR="00505EB9" w:rsidRDefault="00505EB9" w:rsidP="00FA63CC">
      <w:pPr>
        <w:pStyle w:val="a3"/>
        <w:jc w:val="center"/>
        <w:rPr>
          <w:rFonts w:hint="cs"/>
          <w:b/>
          <w:bCs/>
          <w:rtl/>
        </w:rPr>
      </w:pPr>
      <w:r>
        <w:rPr>
          <w:rFonts w:hint="cs"/>
          <w:b/>
          <w:bCs/>
          <w:rtl/>
        </w:rPr>
        <w:t>תיקון הצוואר: העלאת חומרות החמץ למוזיקה של ליל הסדר</w:t>
      </w:r>
    </w:p>
    <w:p w:rsidR="00505EB9" w:rsidRDefault="00505EB9" w:rsidP="00FA63CC">
      <w:pPr>
        <w:pStyle w:val="a3"/>
        <w:rPr>
          <w:rFonts w:hint="cs"/>
          <w:b/>
          <w:bCs/>
          <w:rtl/>
        </w:rPr>
      </w:pPr>
    </w:p>
    <w:p w:rsidR="00505EB9" w:rsidRDefault="00505EB9" w:rsidP="00FA63CC">
      <w:pPr>
        <w:pStyle w:val="a3"/>
        <w:rPr>
          <w:rtl/>
        </w:rPr>
      </w:pPr>
      <w:r w:rsidRPr="00953097">
        <w:rPr>
          <w:b/>
          <w:bCs/>
          <w:rtl/>
        </w:rPr>
        <w:t xml:space="preserve">שו"ת </w:t>
      </w:r>
      <w:proofErr w:type="spellStart"/>
      <w:r w:rsidRPr="00953097">
        <w:rPr>
          <w:b/>
          <w:bCs/>
          <w:rtl/>
        </w:rPr>
        <w:t>רדב"ז</w:t>
      </w:r>
      <w:proofErr w:type="spellEnd"/>
      <w:r w:rsidRPr="00953097">
        <w:rPr>
          <w:b/>
          <w:bCs/>
          <w:rtl/>
        </w:rPr>
        <w:t xml:space="preserve"> חלק ג סימן </w:t>
      </w:r>
      <w:proofErr w:type="spellStart"/>
      <w:r w:rsidRPr="00953097">
        <w:rPr>
          <w:b/>
          <w:bCs/>
          <w:rtl/>
        </w:rPr>
        <w:t>תקמו</w:t>
      </w:r>
      <w:proofErr w:type="spellEnd"/>
      <w:r w:rsidRPr="00953097">
        <w:rPr>
          <w:rFonts w:hint="cs"/>
          <w:rtl/>
        </w:rPr>
        <w:t xml:space="preserve"> </w:t>
      </w:r>
      <w:r w:rsidRPr="00953097">
        <w:rPr>
          <w:rtl/>
        </w:rPr>
        <w:t>(</w:t>
      </w:r>
      <w:proofErr w:type="spellStart"/>
      <w:r w:rsidRPr="00953097">
        <w:rPr>
          <w:rtl/>
        </w:rPr>
        <w:t>תתקעז</w:t>
      </w:r>
      <w:proofErr w:type="spellEnd"/>
      <w:r w:rsidRPr="00953097">
        <w:rPr>
          <w:rtl/>
        </w:rPr>
        <w:t xml:space="preserve">) שאלת ממני אודיעך דעתי מה נשתנה חמץ בפסח מכל </w:t>
      </w:r>
      <w:proofErr w:type="spellStart"/>
      <w:r w:rsidRPr="00953097">
        <w:rPr>
          <w:rtl/>
        </w:rPr>
        <w:t>איסורין</w:t>
      </w:r>
      <w:proofErr w:type="spellEnd"/>
      <w:r w:rsidRPr="00953097">
        <w:rPr>
          <w:rtl/>
        </w:rPr>
        <w:t xml:space="preserve"> שבתורה שהחמירה עליו תורה </w:t>
      </w:r>
      <w:proofErr w:type="spellStart"/>
      <w:r w:rsidRPr="00953097">
        <w:rPr>
          <w:rtl/>
        </w:rPr>
        <w:t>להצריכו</w:t>
      </w:r>
      <w:proofErr w:type="spellEnd"/>
      <w:r w:rsidRPr="00953097">
        <w:rPr>
          <w:rtl/>
        </w:rPr>
        <w:t xml:space="preserve"> בדיקה ושרוף וכלה וגם ביטול והוסיפו חכמים </w:t>
      </w:r>
      <w:proofErr w:type="spellStart"/>
      <w:r w:rsidRPr="00953097">
        <w:rPr>
          <w:rtl/>
        </w:rPr>
        <w:t>להצריכו</w:t>
      </w:r>
      <w:proofErr w:type="spellEnd"/>
      <w:r w:rsidRPr="00953097">
        <w:rPr>
          <w:rtl/>
        </w:rPr>
        <w:t xml:space="preserve"> בדיקה בחורין </w:t>
      </w:r>
      <w:proofErr w:type="spellStart"/>
      <w:r w:rsidRPr="00953097">
        <w:rPr>
          <w:rtl/>
        </w:rPr>
        <w:t>ובסדקין</w:t>
      </w:r>
      <w:proofErr w:type="spellEnd"/>
      <w:r w:rsidRPr="00953097">
        <w:rPr>
          <w:rtl/>
        </w:rPr>
        <w:t xml:space="preserve"> ולחפש אחריו ולשרש אותו מכל </w:t>
      </w:r>
      <w:proofErr w:type="spellStart"/>
      <w:r w:rsidRPr="00953097">
        <w:rPr>
          <w:rtl/>
        </w:rPr>
        <w:t>גבוליו</w:t>
      </w:r>
      <w:proofErr w:type="spellEnd"/>
      <w:r w:rsidRPr="00953097">
        <w:rPr>
          <w:rtl/>
        </w:rPr>
        <w:t xml:space="preserve"> ועבר עליו בבל יראה ובל ימצא ואסרוהו בכל שהוא ואינו מתבטל כלל וחומרות כא</w:t>
      </w:r>
      <w:r w:rsidR="000B498E">
        <w:rPr>
          <w:rtl/>
        </w:rPr>
        <w:t>לו לא נמצאו בכל</w:t>
      </w:r>
      <w:r w:rsidR="000B498E">
        <w:rPr>
          <w:rFonts w:hint="cs"/>
          <w:rtl/>
        </w:rPr>
        <w:t xml:space="preserve"> </w:t>
      </w:r>
      <w:proofErr w:type="spellStart"/>
      <w:r>
        <w:rPr>
          <w:rtl/>
        </w:rPr>
        <w:t>האיסורין</w:t>
      </w:r>
      <w:proofErr w:type="spellEnd"/>
      <w:r>
        <w:rPr>
          <w:rtl/>
        </w:rPr>
        <w:t xml:space="preserve"> שבתורה</w:t>
      </w:r>
      <w:r>
        <w:rPr>
          <w:rFonts w:hint="cs"/>
          <w:rtl/>
        </w:rPr>
        <w:t>...</w:t>
      </w:r>
    </w:p>
    <w:p w:rsidR="00505EB9" w:rsidRDefault="00505EB9" w:rsidP="00FA63CC">
      <w:pPr>
        <w:pStyle w:val="a3"/>
        <w:rPr>
          <w:rtl/>
        </w:rPr>
      </w:pPr>
      <w:r w:rsidRPr="00953097">
        <w:rPr>
          <w:rtl/>
        </w:rPr>
        <w:t xml:space="preserve">תשובה שני דברים נאמרו בתשובת דבר זה. אחת שלא נמצאו בכל </w:t>
      </w:r>
      <w:proofErr w:type="spellStart"/>
      <w:r w:rsidRPr="00953097">
        <w:rPr>
          <w:rtl/>
        </w:rPr>
        <w:t>האיסורין</w:t>
      </w:r>
      <w:proofErr w:type="spellEnd"/>
      <w:r w:rsidRPr="00953097">
        <w:rPr>
          <w:rtl/>
        </w:rPr>
        <w:t xml:space="preserve"> שבתורה שיצטרפו בו כל ג' תנאים הללו שהוא איסורי הנאה והוא בכרת ולא בדילי </w:t>
      </w:r>
      <w:proofErr w:type="spellStart"/>
      <w:r w:rsidRPr="00953097">
        <w:rPr>
          <w:rtl/>
        </w:rPr>
        <w:t>אינשי</w:t>
      </w:r>
      <w:proofErr w:type="spellEnd"/>
      <w:r w:rsidRPr="00953097">
        <w:rPr>
          <w:rtl/>
        </w:rPr>
        <w:t xml:space="preserve"> מיניה כולה שתא אלא חמץ בלבד וכיון שיש בו החומרות הללו החמירה עליו תורה חומרות אחרות ובאו חכמים והוסיפו חו</w:t>
      </w:r>
      <w:r>
        <w:rPr>
          <w:rtl/>
        </w:rPr>
        <w:t>מרות על חומרות כמו שעשתה התורה.</w:t>
      </w:r>
      <w:r>
        <w:rPr>
          <w:rFonts w:hint="cs"/>
          <w:rtl/>
        </w:rPr>
        <w:t>...</w:t>
      </w:r>
      <w:r w:rsidRPr="00953097">
        <w:rPr>
          <w:rtl/>
        </w:rPr>
        <w:t xml:space="preserve">גם על הטעם הראשון יש לי קצת גמגום ומי עדיף מע"ז </w:t>
      </w:r>
      <w:proofErr w:type="spellStart"/>
      <w:r w:rsidRPr="00953097">
        <w:rPr>
          <w:rtl/>
        </w:rPr>
        <w:t>דאמרה</w:t>
      </w:r>
      <w:proofErr w:type="spellEnd"/>
      <w:r w:rsidRPr="00953097">
        <w:rPr>
          <w:rtl/>
        </w:rPr>
        <w:t xml:space="preserve"> תורה ולא ידבק בידך מאומה מן החרם וכל המודה בו ככופר בכל התורה כולה ולא מצינו שהצריכה תורה בה בדיקה וביטול אלא שבארץ ישראל </w:t>
      </w:r>
      <w:proofErr w:type="spellStart"/>
      <w:r w:rsidRPr="00953097">
        <w:rPr>
          <w:rtl/>
        </w:rPr>
        <w:t>מצוה</w:t>
      </w:r>
      <w:proofErr w:type="spellEnd"/>
      <w:r w:rsidRPr="00953097">
        <w:rPr>
          <w:rtl/>
        </w:rPr>
        <w:t xml:space="preserve"> לרדוף אחריה עד שנאבד אותה מארצנו אבל בח"ל אין אנו </w:t>
      </w:r>
      <w:proofErr w:type="spellStart"/>
      <w:r w:rsidRPr="00953097">
        <w:rPr>
          <w:rtl/>
        </w:rPr>
        <w:t>מצווין</w:t>
      </w:r>
      <w:proofErr w:type="spellEnd"/>
      <w:r w:rsidRPr="00953097">
        <w:rPr>
          <w:rtl/>
        </w:rPr>
        <w:t xml:space="preserve"> לרדוף אחריה אלא כל מקום שנכבוש אותו נאבד את כל עכו"ם שבו עכ"ל הרמב"ם ז"ל. מ"מ הרי אתה רואה שלא החמירה תורה בעכו"ם כמו בחמץ </w:t>
      </w:r>
      <w:proofErr w:type="spellStart"/>
      <w:r w:rsidRPr="00953097">
        <w:rPr>
          <w:rtl/>
        </w:rPr>
        <w:t>הילכך</w:t>
      </w:r>
      <w:proofErr w:type="spellEnd"/>
      <w:r w:rsidRPr="00953097">
        <w:rPr>
          <w:rtl/>
        </w:rPr>
        <w:t xml:space="preserve"> עדיין צריך טעם ועל כן אני סומך על מה שאמרו רז"ל במדרשות כי חמץ בפסח רמז </w:t>
      </w:r>
      <w:proofErr w:type="spellStart"/>
      <w:r w:rsidRPr="00953097">
        <w:rPr>
          <w:rtl/>
        </w:rPr>
        <w:t>ליצה"ר</w:t>
      </w:r>
      <w:proofErr w:type="spellEnd"/>
      <w:r w:rsidRPr="00953097">
        <w:rPr>
          <w:rtl/>
        </w:rPr>
        <w:t xml:space="preserve"> והוא שאור שבעיסה ולכן כלה גרש יגרש אותו האדם מעליו ויחפש עליו בכל </w:t>
      </w:r>
      <w:proofErr w:type="spellStart"/>
      <w:r w:rsidRPr="00953097">
        <w:rPr>
          <w:rtl/>
        </w:rPr>
        <w:t>מחבואות</w:t>
      </w:r>
      <w:proofErr w:type="spellEnd"/>
      <w:r w:rsidRPr="00953097">
        <w:rPr>
          <w:rtl/>
        </w:rPr>
        <w:t xml:space="preserve"> מחשבותיו ואפילו כל שהוא לא בטיל והרי זה אמת ונכון. </w:t>
      </w:r>
      <w:proofErr w:type="spellStart"/>
      <w:r w:rsidRPr="00953097">
        <w:rPr>
          <w:rtl/>
        </w:rPr>
        <w:t>והנלע"ד</w:t>
      </w:r>
      <w:proofErr w:type="spellEnd"/>
      <w:r w:rsidRPr="00953097">
        <w:rPr>
          <w:rtl/>
        </w:rPr>
        <w:t xml:space="preserve"> כתבתי:</w:t>
      </w:r>
    </w:p>
    <w:p w:rsidR="00505EB9" w:rsidRDefault="00505EB9" w:rsidP="00FA63CC">
      <w:pPr>
        <w:pStyle w:val="a3"/>
        <w:rPr>
          <w:rtl/>
        </w:rPr>
      </w:pPr>
    </w:p>
    <w:p w:rsidR="00505EB9" w:rsidRDefault="00505EB9" w:rsidP="00FA63CC">
      <w:pPr>
        <w:pStyle w:val="a3"/>
        <w:rPr>
          <w:rFonts w:hint="cs"/>
          <w:rtl/>
        </w:rPr>
      </w:pPr>
      <w:r w:rsidRPr="006E647E">
        <w:rPr>
          <w:rFonts w:hint="cs"/>
          <w:b/>
          <w:bCs/>
          <w:rtl/>
        </w:rPr>
        <w:t xml:space="preserve">דרוש </w:t>
      </w:r>
      <w:proofErr w:type="spellStart"/>
      <w:r w:rsidRPr="006E647E">
        <w:rPr>
          <w:rFonts w:hint="cs"/>
          <w:b/>
          <w:bCs/>
          <w:rtl/>
        </w:rPr>
        <w:t>רש"ב</w:t>
      </w:r>
      <w:proofErr w:type="spellEnd"/>
      <w:r w:rsidRPr="006E647E">
        <w:rPr>
          <w:rFonts w:hint="cs"/>
          <w:b/>
          <w:bCs/>
          <w:rtl/>
        </w:rPr>
        <w:t xml:space="preserve"> </w:t>
      </w:r>
      <w:proofErr w:type="spellStart"/>
      <w:r w:rsidRPr="006E647E">
        <w:rPr>
          <w:rFonts w:hint="cs"/>
          <w:b/>
          <w:bCs/>
          <w:rtl/>
        </w:rPr>
        <w:t>מפרשיסחא</w:t>
      </w:r>
      <w:proofErr w:type="spellEnd"/>
      <w:r>
        <w:rPr>
          <w:rFonts w:hint="cs"/>
          <w:rtl/>
        </w:rPr>
        <w:t xml:space="preserve"> </w:t>
      </w:r>
      <w:proofErr w:type="spellStart"/>
      <w:r>
        <w:rPr>
          <w:rFonts w:hint="cs"/>
          <w:rtl/>
        </w:rPr>
        <w:t>נאוו</w:t>
      </w:r>
      <w:proofErr w:type="spellEnd"/>
      <w:r>
        <w:rPr>
          <w:rFonts w:hint="cs"/>
          <w:rtl/>
        </w:rPr>
        <w:t xml:space="preserve"> לחייך בתורים, צווארך בחרוזים </w:t>
      </w:r>
      <w:r>
        <w:rPr>
          <w:rtl/>
        </w:rPr>
        <w:t>–</w:t>
      </w:r>
      <w:r>
        <w:rPr>
          <w:rFonts w:hint="cs"/>
          <w:rtl/>
        </w:rPr>
        <w:t xml:space="preserve"> </w:t>
      </w:r>
      <w:proofErr w:type="spellStart"/>
      <w:r>
        <w:rPr>
          <w:rFonts w:hint="cs"/>
          <w:rtl/>
        </w:rPr>
        <w:t>רבינו</w:t>
      </w:r>
      <w:proofErr w:type="spellEnd"/>
      <w:r>
        <w:rPr>
          <w:rFonts w:hint="cs"/>
          <w:rtl/>
        </w:rPr>
        <w:t xml:space="preserve"> </w:t>
      </w:r>
      <w:proofErr w:type="spellStart"/>
      <w:r>
        <w:rPr>
          <w:rFonts w:hint="cs"/>
          <w:rtl/>
        </w:rPr>
        <w:t>רש"ב</w:t>
      </w:r>
      <w:proofErr w:type="spellEnd"/>
      <w:r>
        <w:rPr>
          <w:rFonts w:hint="cs"/>
          <w:rtl/>
        </w:rPr>
        <w:t xml:space="preserve"> </w:t>
      </w:r>
      <w:proofErr w:type="spellStart"/>
      <w:r>
        <w:rPr>
          <w:rFonts w:hint="cs"/>
          <w:rtl/>
        </w:rPr>
        <w:t>מפרשיסחא</w:t>
      </w:r>
      <w:proofErr w:type="spellEnd"/>
      <w:r>
        <w:rPr>
          <w:rFonts w:hint="cs"/>
          <w:rtl/>
        </w:rPr>
        <w:t xml:space="preserve"> אמר בזה הלשון: כול החומרות שישראל מחמירים ונוהגים בפסח, הם </w:t>
      </w:r>
      <w:proofErr w:type="spellStart"/>
      <w:r>
        <w:rPr>
          <w:rFonts w:hint="cs"/>
          <w:rtl/>
        </w:rPr>
        <w:t>תכשיטין</w:t>
      </w:r>
      <w:proofErr w:type="spellEnd"/>
      <w:r>
        <w:rPr>
          <w:rFonts w:hint="cs"/>
          <w:rtl/>
        </w:rPr>
        <w:t xml:space="preserve"> לקדושה.</w:t>
      </w:r>
    </w:p>
    <w:p w:rsidR="00505EB9" w:rsidRDefault="00505EB9" w:rsidP="00FA63CC">
      <w:pPr>
        <w:pStyle w:val="a3"/>
        <w:rPr>
          <w:rFonts w:hint="cs"/>
          <w:rtl/>
        </w:rPr>
      </w:pPr>
      <w:r>
        <w:rPr>
          <w:rFonts w:hint="cs"/>
          <w:rtl/>
        </w:rPr>
        <w:t xml:space="preserve">רמז לזה: צווארך בחרוזים </w:t>
      </w:r>
      <w:r>
        <w:rPr>
          <w:rtl/>
        </w:rPr>
        <w:t>–</w:t>
      </w:r>
      <w:r>
        <w:rPr>
          <w:rFonts w:hint="cs"/>
          <w:rtl/>
        </w:rPr>
        <w:t xml:space="preserve"> היינו כי כול אברי האדם והגוף, אינו מקבל שום תכשיט שלא יהיה שום שייכות לדבר הלז </w:t>
      </w:r>
      <w:proofErr w:type="spellStart"/>
      <w:r>
        <w:rPr>
          <w:rFonts w:hint="cs"/>
          <w:rtl/>
        </w:rPr>
        <w:t>להמקום</w:t>
      </w:r>
      <w:proofErr w:type="spellEnd"/>
      <w:r>
        <w:rPr>
          <w:rFonts w:hint="cs"/>
          <w:rtl/>
        </w:rPr>
        <w:t xml:space="preserve">, או על דרך מלבוש או לכסות וכיוצא. אבל הצוואר מיוחד לקבל תכשיט, אף מדבר שאין לו שייכות. דהיינו </w:t>
      </w:r>
      <w:proofErr w:type="spellStart"/>
      <w:r>
        <w:rPr>
          <w:rFonts w:hint="cs"/>
          <w:rtl/>
        </w:rPr>
        <w:t>שנוטלין</w:t>
      </w:r>
      <w:proofErr w:type="spellEnd"/>
      <w:r>
        <w:rPr>
          <w:rFonts w:hint="cs"/>
          <w:rtl/>
        </w:rPr>
        <w:t xml:space="preserve"> דבר יקר כגון מרגליות ואבנים טובות וזהב, אף שאינם לכסות ולא לקור</w:t>
      </w:r>
      <w:r w:rsidRPr="006E647E">
        <w:rPr>
          <w:rFonts w:hint="cs"/>
          <w:rtl/>
        </w:rPr>
        <w:t xml:space="preserve"> </w:t>
      </w:r>
      <w:r>
        <w:rPr>
          <w:rFonts w:hint="cs"/>
          <w:rtl/>
        </w:rPr>
        <w:t xml:space="preserve">ולא לחום, רק </w:t>
      </w:r>
      <w:proofErr w:type="spellStart"/>
      <w:r>
        <w:rPr>
          <w:rFonts w:hint="cs"/>
          <w:rtl/>
        </w:rPr>
        <w:t>תולין</w:t>
      </w:r>
      <w:proofErr w:type="spellEnd"/>
      <w:r>
        <w:rPr>
          <w:rFonts w:hint="cs"/>
          <w:rtl/>
        </w:rPr>
        <w:t xml:space="preserve"> בצוואר לתכשיט.</w:t>
      </w:r>
    </w:p>
    <w:p w:rsidR="00505EB9" w:rsidRDefault="00505EB9" w:rsidP="00FA63CC">
      <w:pPr>
        <w:pStyle w:val="a3"/>
        <w:rPr>
          <w:rFonts w:hint="cs"/>
          <w:rtl/>
        </w:rPr>
      </w:pPr>
      <w:r>
        <w:rPr>
          <w:rFonts w:hint="cs"/>
          <w:rtl/>
        </w:rPr>
        <w:t>והוא העניין שהחמיר בפסח: מחמת שהצוואר הוא הכלי לקבל האכילות, ובעסק אכילות שייך כול החומרות שאדם מחמיר, אף שאין בעצם כול כך מקום לחומרות. ומה גם שחג הפסח הוא בירור באכילות. לכן כול החומרות שהחמירו בזה, אף שנראים רחוקים ממצווה הזאת, הם תכשיטים לקדושה...</w:t>
      </w:r>
    </w:p>
    <w:p w:rsidR="00505EB9" w:rsidRDefault="00505EB9" w:rsidP="00FA63CC">
      <w:pPr>
        <w:pStyle w:val="a3"/>
        <w:rPr>
          <w:rFonts w:hint="cs"/>
          <w:rtl/>
        </w:rPr>
      </w:pPr>
    </w:p>
    <w:p w:rsidR="00FA63CC" w:rsidRPr="00656056" w:rsidRDefault="00FA63CC" w:rsidP="00FA63CC">
      <w:pPr>
        <w:pStyle w:val="a3"/>
        <w:rPr>
          <w:b/>
          <w:bCs/>
          <w:rtl/>
        </w:rPr>
      </w:pPr>
      <w:r w:rsidRPr="00656056">
        <w:rPr>
          <w:b/>
          <w:bCs/>
          <w:rtl/>
        </w:rPr>
        <w:t>רמב"ם הלכות חמץ ומצה פרק ב</w:t>
      </w:r>
      <w:r w:rsidRPr="00656056">
        <w:rPr>
          <w:rStyle w:val="ab"/>
          <w:b/>
          <w:bCs/>
          <w:rtl/>
        </w:rPr>
        <w:footnoteReference w:id="2"/>
      </w:r>
    </w:p>
    <w:p w:rsidR="00FA63CC" w:rsidRPr="00656056" w:rsidRDefault="00FA63CC" w:rsidP="00FA63CC">
      <w:pPr>
        <w:pStyle w:val="a3"/>
        <w:rPr>
          <w:rtl/>
        </w:rPr>
      </w:pPr>
      <w:r w:rsidRPr="00656056">
        <w:rPr>
          <w:rtl/>
        </w:rPr>
        <w:lastRenderedPageBreak/>
        <w:t>הלכה א</w:t>
      </w:r>
    </w:p>
    <w:p w:rsidR="00FA63CC" w:rsidRPr="00656056" w:rsidRDefault="00FA63CC" w:rsidP="00FA63CC">
      <w:pPr>
        <w:pStyle w:val="a3"/>
        <w:rPr>
          <w:rtl/>
        </w:rPr>
      </w:pPr>
      <w:r w:rsidRPr="00656056">
        <w:rPr>
          <w:rtl/>
        </w:rPr>
        <w:t xml:space="preserve">מצות עשה מן התורה להשבית החמץ קודם זמן איסור אכילתו שנאמר +שמות י"ב+ ביום הראשון תשביתו שאור מבתיכם, ומפי השמועה למדו שראשון זה הוא יום ארבעה עשר, וראיה לדבר זה מה שכתוב בתורה +שמות ל"ד+ לא תשחט על חמץ דם זבחי כלומר לא תשחט הפסח ועדיין החמץ קיים, ושחיטת הפסח הוא יום ארבעה עשר אחר חצות. </w:t>
      </w:r>
    </w:p>
    <w:p w:rsidR="00FA63CC" w:rsidRPr="00656056" w:rsidRDefault="00FA63CC" w:rsidP="00FA63CC">
      <w:pPr>
        <w:pStyle w:val="a3"/>
        <w:rPr>
          <w:rtl/>
        </w:rPr>
      </w:pPr>
      <w:r w:rsidRPr="00656056">
        <w:rPr>
          <w:rtl/>
        </w:rPr>
        <w:t>הלכה ב</w:t>
      </w:r>
    </w:p>
    <w:p w:rsidR="00FA63CC" w:rsidRPr="00656056" w:rsidRDefault="00FA63CC" w:rsidP="00FA63CC">
      <w:pPr>
        <w:pStyle w:val="a3"/>
        <w:rPr>
          <w:rtl/>
        </w:rPr>
      </w:pPr>
      <w:r w:rsidRPr="00656056">
        <w:rPr>
          <w:rtl/>
        </w:rPr>
        <w:t xml:space="preserve">ומה היא השבתה זו האמורה בתורה היא שיבטל החמץ בלבו ויחשוב אותו כעפר וישים בלבו שאין ברשותו חמץ כלל, ושכל חמץ שברשותו הרי הוא כעפר וכדבר שאין בו צורך כלל. </w:t>
      </w:r>
    </w:p>
    <w:p w:rsidR="00FA63CC" w:rsidRPr="00656056" w:rsidRDefault="00FA63CC" w:rsidP="00FA63CC">
      <w:pPr>
        <w:pStyle w:val="a3"/>
        <w:rPr>
          <w:rtl/>
        </w:rPr>
      </w:pPr>
      <w:r w:rsidRPr="00656056">
        <w:rPr>
          <w:rtl/>
        </w:rPr>
        <w:t>הלכה ג</w:t>
      </w:r>
    </w:p>
    <w:p w:rsidR="00FA63CC" w:rsidRPr="00656056" w:rsidRDefault="00FA63CC" w:rsidP="00FA63CC">
      <w:pPr>
        <w:pStyle w:val="a3"/>
        <w:rPr>
          <w:rtl/>
        </w:rPr>
      </w:pPr>
      <w:r w:rsidRPr="00656056">
        <w:rPr>
          <w:rtl/>
        </w:rPr>
        <w:t xml:space="preserve">ומדברי סופרים לחפש אחר החמץ </w:t>
      </w:r>
      <w:proofErr w:type="spellStart"/>
      <w:r w:rsidRPr="00656056">
        <w:rPr>
          <w:rtl/>
        </w:rPr>
        <w:t>במחבואות</w:t>
      </w:r>
      <w:proofErr w:type="spellEnd"/>
      <w:r w:rsidRPr="00656056">
        <w:rPr>
          <w:rtl/>
        </w:rPr>
        <w:t xml:space="preserve"> ובחורים ולבדוק ולהוציאו מכל גבולו, וכן מדברי סופרים </w:t>
      </w:r>
      <w:proofErr w:type="spellStart"/>
      <w:r w:rsidRPr="00656056">
        <w:rPr>
          <w:rtl/>
        </w:rPr>
        <w:t>שבודקין</w:t>
      </w:r>
      <w:proofErr w:type="spellEnd"/>
      <w:r w:rsidRPr="00656056">
        <w:rPr>
          <w:rtl/>
        </w:rPr>
        <w:t xml:space="preserve"> </w:t>
      </w:r>
      <w:proofErr w:type="spellStart"/>
      <w:r w:rsidRPr="00656056">
        <w:rPr>
          <w:rtl/>
        </w:rPr>
        <w:t>ומשביתין</w:t>
      </w:r>
      <w:proofErr w:type="spellEnd"/>
      <w:r w:rsidRPr="00656056">
        <w:rPr>
          <w:rtl/>
        </w:rPr>
        <w:t xml:space="preserve"> החמץ בלילה מתחילת ליל ארבעה עשר לאור הנר, מפני שבלילה כל העם </w:t>
      </w:r>
      <w:proofErr w:type="spellStart"/>
      <w:r w:rsidRPr="00656056">
        <w:rPr>
          <w:rtl/>
        </w:rPr>
        <w:t>מצויין</w:t>
      </w:r>
      <w:proofErr w:type="spellEnd"/>
      <w:r w:rsidRPr="00656056">
        <w:rPr>
          <w:rtl/>
        </w:rPr>
        <w:t xml:space="preserve"> בבתיהן ואור הנר יפה לבדיקה, ואין </w:t>
      </w:r>
      <w:proofErr w:type="spellStart"/>
      <w:r w:rsidRPr="00656056">
        <w:rPr>
          <w:rtl/>
        </w:rPr>
        <w:t>קובעין</w:t>
      </w:r>
      <w:proofErr w:type="spellEnd"/>
      <w:r w:rsidRPr="00656056">
        <w:rPr>
          <w:rtl/>
        </w:rPr>
        <w:t xml:space="preserve"> מדרש בסוף יום שלשה עשר, וכן החכם לא יתחיל לקרות בעת זו שמא ימשך וימנע מבדיקת חמץ בתחילת זמנה. </w:t>
      </w:r>
    </w:p>
    <w:p w:rsidR="00FA63CC" w:rsidRPr="00656056" w:rsidRDefault="00FA63CC" w:rsidP="00FA63CC">
      <w:pPr>
        <w:pStyle w:val="a3"/>
        <w:rPr>
          <w:rtl/>
        </w:rPr>
      </w:pPr>
    </w:p>
    <w:p w:rsidR="00FA63CC" w:rsidRPr="00656056" w:rsidRDefault="00FA63CC" w:rsidP="00FA63CC">
      <w:pPr>
        <w:pStyle w:val="a3"/>
        <w:rPr>
          <w:b/>
          <w:bCs/>
          <w:rtl/>
        </w:rPr>
      </w:pPr>
      <w:r w:rsidRPr="00656056">
        <w:rPr>
          <w:b/>
          <w:bCs/>
          <w:rtl/>
        </w:rPr>
        <w:t xml:space="preserve">הגדה שלימה, הרב כשר, </w:t>
      </w:r>
      <w:proofErr w:type="spellStart"/>
      <w:r w:rsidRPr="00656056">
        <w:rPr>
          <w:b/>
          <w:bCs/>
          <w:rtl/>
        </w:rPr>
        <w:t>עמ</w:t>
      </w:r>
      <w:proofErr w:type="spellEnd"/>
      <w:r w:rsidRPr="00656056">
        <w:rPr>
          <w:b/>
          <w:bCs/>
          <w:rtl/>
        </w:rPr>
        <w:t>' 56</w:t>
      </w:r>
    </w:p>
    <w:p w:rsidR="00FA63CC" w:rsidRPr="00656056" w:rsidRDefault="00FA63CC" w:rsidP="00FA63CC">
      <w:pPr>
        <w:pStyle w:val="a3"/>
        <w:rPr>
          <w:rtl/>
        </w:rPr>
      </w:pPr>
      <w:r w:rsidRPr="00656056">
        <w:rPr>
          <w:rtl/>
        </w:rPr>
        <w:t xml:space="preserve">והנה לכאורה קשה, שלא מצאנו בכל התורה דין כזה, שאדם יכול בכוח דיבורו להפוך עצם </w:t>
      </w:r>
      <w:proofErr w:type="spellStart"/>
      <w:r w:rsidRPr="00656056">
        <w:rPr>
          <w:rtl/>
        </w:rPr>
        <w:t>מסויים</w:t>
      </w:r>
      <w:proofErr w:type="spellEnd"/>
      <w:r w:rsidRPr="00656056">
        <w:rPr>
          <w:rtl/>
        </w:rPr>
        <w:t xml:space="preserve"> לעפר. אולם מצאנו הסבר נאה </w:t>
      </w:r>
      <w:proofErr w:type="spellStart"/>
      <w:r w:rsidRPr="00656056">
        <w:rPr>
          <w:rtl/>
        </w:rPr>
        <w:t>ברלב"ג</w:t>
      </w:r>
      <w:proofErr w:type="spellEnd"/>
      <w:r w:rsidRPr="00656056">
        <w:rPr>
          <w:rtl/>
        </w:rPr>
        <w:t xml:space="preserve"> על התורה: 'השורש הראשון הוא שיחשבהו כעפר והדומה לו ממה שאינו ראוי לאכילה קודם הזמן, כי אז הוא שליט עליו ויכול לעשות מה שירצה, לפי שהוא קניין </w:t>
      </w:r>
      <w:proofErr w:type="spellStart"/>
      <w:r w:rsidRPr="00656056">
        <w:rPr>
          <w:rtl/>
        </w:rPr>
        <w:t>מקניניו</w:t>
      </w:r>
      <w:proofErr w:type="spellEnd"/>
      <w:r w:rsidRPr="00656056">
        <w:rPr>
          <w:rtl/>
        </w:rPr>
        <w:t>, והוא מפני זה יכול להסכים שלא ישתמש מהלחם ההוא בשימוש המיוחד בו מצד מה שהוא לחם, אבל ישתמש בו שימושי העפר והאבן והדומה להם...</w:t>
      </w:r>
      <w:proofErr w:type="spellStart"/>
      <w:r w:rsidRPr="00656056">
        <w:rPr>
          <w:rtl/>
        </w:rPr>
        <w:t>'.</w:t>
      </w:r>
      <w:proofErr w:type="spellEnd"/>
      <w:r w:rsidRPr="00656056">
        <w:rPr>
          <w:rtl/>
        </w:rPr>
        <w:t xml:space="preserve"> הרי לפנינו ביאור חדש בעניין ביטול: שבעלות האדם על קנינו, היא גם על מהותו של החפץ, וכשהוא מחליט להשתמש בכיכר של חמץ שימוש העפר, יש לו לכיכר זה דין עפר ולא דין לחם. וכן מפרש בספר 'המכתם' לפסחים את דברי הרמב"ם: 'ולפי ל' </w:t>
      </w:r>
      <w:proofErr w:type="spellStart"/>
      <w:r w:rsidRPr="00656056">
        <w:rPr>
          <w:rtl/>
        </w:rPr>
        <w:t>הר"ר</w:t>
      </w:r>
      <w:proofErr w:type="spellEnd"/>
      <w:r w:rsidRPr="00656056">
        <w:rPr>
          <w:rtl/>
        </w:rPr>
        <w:t xml:space="preserve"> משה ז"ל משמע שעניין הביטול הוא שמשים אותו כדבר שאינו ממון ואינו חשוב כלום, וכדבר בטל לגמרי, ולפיכך אינו נחשב לכלום להתחייב עליו אחר </w:t>
      </w:r>
      <w:proofErr w:type="spellStart"/>
      <w:r w:rsidRPr="00656056">
        <w:rPr>
          <w:rtl/>
        </w:rPr>
        <w:t>שעשאו</w:t>
      </w:r>
      <w:proofErr w:type="spellEnd"/>
      <w:r w:rsidRPr="00656056">
        <w:rPr>
          <w:rtl/>
        </w:rPr>
        <w:t xml:space="preserve"> כן.</w:t>
      </w:r>
    </w:p>
    <w:p w:rsidR="00FA63CC" w:rsidRDefault="00FA63CC" w:rsidP="00FA63CC">
      <w:pPr>
        <w:pStyle w:val="a3"/>
        <w:rPr>
          <w:rFonts w:hint="cs"/>
          <w:rtl/>
        </w:rPr>
      </w:pPr>
    </w:p>
    <w:p w:rsidR="00505EB9" w:rsidRPr="00A5685D" w:rsidRDefault="00505EB9" w:rsidP="00FA63CC">
      <w:pPr>
        <w:pStyle w:val="a3"/>
        <w:rPr>
          <w:b/>
          <w:bCs/>
          <w:rtl/>
        </w:rPr>
      </w:pPr>
      <w:r w:rsidRPr="00A5685D">
        <w:rPr>
          <w:rFonts w:hint="cs"/>
          <w:b/>
          <w:bCs/>
          <w:rtl/>
        </w:rPr>
        <w:t xml:space="preserve">חתונה של אבודים </w:t>
      </w:r>
      <w:r w:rsidRPr="00A5685D">
        <w:rPr>
          <w:b/>
          <w:bCs/>
          <w:rtl/>
        </w:rPr>
        <w:t>פרק שמיני – הקבצן עקום-הצוואר: קולות, ניגונים ויללות</w:t>
      </w:r>
    </w:p>
    <w:p w:rsidR="00505EB9" w:rsidRDefault="00505EB9" w:rsidP="00FA63CC">
      <w:pPr>
        <w:pStyle w:val="a3"/>
        <w:rPr>
          <w:rtl/>
        </w:rPr>
      </w:pPr>
      <w:r w:rsidRPr="00A5685D">
        <w:rPr>
          <w:b/>
          <w:bCs/>
          <w:rtl/>
        </w:rPr>
        <w:t>א. הקול והמראה</w:t>
      </w:r>
      <w:r>
        <w:rPr>
          <w:rFonts w:hint="cs"/>
          <w:b/>
          <w:bCs/>
          <w:rtl/>
        </w:rPr>
        <w:t xml:space="preserve"> </w:t>
      </w:r>
      <w:r>
        <w:rPr>
          <w:rtl/>
        </w:rPr>
        <w:t>החתונה מגיעה ליומה הרביעי, ובו בא הקבצן עקום-הצוואר לברך את הזוג הצעיר. אם ביום הקודם עסקנו בתיקון הדיבור על-פי דרכו של הקבצן כבד-הפה, כאן אנו נכנסים עמוק יותר, לעולם הקול והניגון. כמו שקורה הרבה בסיפור הזה, גם כאן יש רצף של קישורים שאינם ברורים במבט ראשון: מה הקשר בין הצוואר העקום לבין הקול הנפלא? ואיך תיקון הקול מתחבר לסיפור על הציפורים המייללות?</w:t>
      </w:r>
    </w:p>
    <w:p w:rsidR="00505EB9" w:rsidRDefault="00505EB9" w:rsidP="00FA63CC">
      <w:pPr>
        <w:pStyle w:val="a3"/>
        <w:rPr>
          <w:rtl/>
        </w:rPr>
      </w:pPr>
      <w:r>
        <w:rPr>
          <w:rtl/>
        </w:rPr>
        <w:t>ראשית, ר' נחמן עושה כאן קישור מעניין בין הקול לבין המראה החיצוני של הגוף</w:t>
      </w:r>
      <w:r>
        <w:rPr>
          <w:rFonts w:cs="Narkisim"/>
          <w:rtl/>
        </w:rPr>
        <w:t xml:space="preserve"> </w:t>
      </w:r>
      <w:r>
        <w:rPr>
          <w:rtl/>
        </w:rPr>
        <w:t>"</w:t>
      </w:r>
      <w:r>
        <w:rPr>
          <w:rFonts w:cs="Narkisim"/>
          <w:rtl/>
        </w:rPr>
        <w:t>באמת יש לי צוואר יפה מאד... כי יש לי קול נפלא מאד</w:t>
      </w:r>
      <w:r>
        <w:rPr>
          <w:rtl/>
        </w:rPr>
        <w:t xml:space="preserve">". החיבור הזה עשוי להיראות מופרך, אם חושבים על הקול במושגים מכאניים של גלים ותיבת-תהודה: אולי מבנה הצוואר קשור ליצירת הקול, </w:t>
      </w:r>
      <w:r>
        <w:rPr>
          <w:rtl/>
        </w:rPr>
        <w:lastRenderedPageBreak/>
        <w:t>אך זה ודאי אינו נוגע לשאלה אם הוא יפה או לא. אבל אפשר גם להסתכל על הדברים אחרת, לחשוב על הקולות כפי שהם נגלים לנו בסביבה הטבעית שלהם. האם אין קשר בין מראה הסערה לבין קולות הרעמים? האם אין קשר בין מראה הציפור לבין השירה שלה? מנקודת מבט כזו אפשר לראות את הקול לא כדבר נפרד, כאפקט חומרי שאפשר ליצור באולפן ולהדביק על התמונה, אלא כביטוי למהות שלמה שגם המראה הוא חלק ממנה.</w:t>
      </w:r>
    </w:p>
    <w:p w:rsidR="00505EB9" w:rsidRDefault="00505EB9" w:rsidP="00FA63CC">
      <w:pPr>
        <w:pStyle w:val="a3"/>
        <w:rPr>
          <w:rtl/>
        </w:rPr>
      </w:pPr>
      <w:r>
        <w:rPr>
          <w:rtl/>
        </w:rPr>
        <w:t>בחוויה היומיומית אנו וודאי תופסים את הדברים כך, ומכאן צומחת גם האפשרות של הזיוף, של יצירת חזיון-שווא של הופעה וקול. תעשיית המוזיקה היום בנויה במידה רבה על זיוף כזה, על יצירת תדמית מרשימה המצטרפת לקול עוצמתי, כאשר שני אלה מעובדים בנפרד ומודבקים באופן מלאכותי. גם כאן, ר' נחמן שואף לחשוף את הזיוף באמצעות דמותו של הקבצן בעל המום, שגופו החריג שובר את התפיסה הרגילה: דווקא הצוואר העקום הוא היפה, והוא המפיק את הקולות הנפלאים ביותר. ר' נחמן מזהה את הקישור המקובל בין מראה לקול, את השקר שבתדמית המוחצנת, ומהפך אותה על ראשה – יש קשר בין מראה לקול, אבל הוא פועל בכיוון הפוך מכפי שמקובל לחשוב. האנשים היפים משמיעים קולות של הבל, ובעל-המום מפתיע ביכולותיו הגנוזות.</w:t>
      </w:r>
    </w:p>
    <w:p w:rsidR="00505EB9" w:rsidRDefault="00505EB9" w:rsidP="00FA63CC">
      <w:pPr>
        <w:pStyle w:val="a3"/>
        <w:rPr>
          <w:rtl/>
        </w:rPr>
      </w:pPr>
    </w:p>
    <w:p w:rsidR="00505EB9" w:rsidRDefault="00505EB9" w:rsidP="00FA63CC">
      <w:pPr>
        <w:pStyle w:val="a3"/>
        <w:rPr>
          <w:rFonts w:hint="cs"/>
          <w:rtl/>
        </w:rPr>
      </w:pPr>
    </w:p>
    <w:sectPr w:rsidR="00505EB9" w:rsidSect="005614D4">
      <w:headerReference w:type="default" r:id="rId6"/>
      <w:pgSz w:w="11906" w:h="16838"/>
      <w:pgMar w:top="720" w:right="720" w:bottom="720" w:left="720" w:header="708" w:footer="708" w:gutter="0"/>
      <w:cols w:num="2"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614D4" w:rsidRDefault="005614D4" w:rsidP="005614D4">
      <w:pPr>
        <w:spacing w:after="0" w:line="240" w:lineRule="auto"/>
      </w:pPr>
      <w:r>
        <w:separator/>
      </w:r>
    </w:p>
  </w:endnote>
  <w:endnote w:type="continuationSeparator" w:id="1">
    <w:p w:rsidR="005614D4" w:rsidRDefault="005614D4" w:rsidP="005614D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Narkisim">
    <w:panose1 w:val="020E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614D4" w:rsidRDefault="005614D4" w:rsidP="005614D4">
      <w:pPr>
        <w:spacing w:after="0" w:line="240" w:lineRule="auto"/>
      </w:pPr>
      <w:r>
        <w:separator/>
      </w:r>
    </w:p>
  </w:footnote>
  <w:footnote w:type="continuationSeparator" w:id="1">
    <w:p w:rsidR="005614D4" w:rsidRDefault="005614D4" w:rsidP="005614D4">
      <w:pPr>
        <w:spacing w:after="0" w:line="240" w:lineRule="auto"/>
      </w:pPr>
      <w:r>
        <w:continuationSeparator/>
      </w:r>
    </w:p>
  </w:footnote>
  <w:footnote w:id="2">
    <w:p w:rsidR="00FA63CC" w:rsidRPr="00FA63CC" w:rsidRDefault="00FA63CC" w:rsidP="00FA63CC">
      <w:pPr>
        <w:pStyle w:val="a3"/>
        <w:rPr>
          <w:rFonts w:hint="cs"/>
        </w:rPr>
      </w:pPr>
      <w:r w:rsidRPr="00FA63CC">
        <w:rPr>
          <w:rStyle w:val="ab"/>
        </w:rPr>
        <w:footnoteRef/>
      </w:r>
      <w:r w:rsidRPr="00FA63CC">
        <w:rPr>
          <w:rtl/>
        </w:rPr>
        <w:t xml:space="preserve"> </w:t>
      </w:r>
      <w:r w:rsidRPr="00FA63CC">
        <w:rPr>
          <w:rFonts w:hint="cs"/>
          <w:rtl/>
        </w:rPr>
        <w:t xml:space="preserve">ביטול חמץ שלא כפשוטו: לימוד הרמב"ם שמבחין בעקבות הגמרא בין דין 'מדאורייתא מבטלו בליבו ודיו' לבין דין בדיקה וביעור שתיקנו חכמים 'שמא לא יבטל בליבו יפה יפה'. הקושי בר"מ ברור. הערות הרב כשר. ביטול החמץ הוא לפי הר"מ 'עבודה בסובייקט'. הרב כשר משתמש בשפה הלכתית כדי לתאר סוג של קניין שמשנה את מהות הדבר. בנקודה זו הכשל כי לא ניתן לפרש את העבודה בסובייקט בשפה הלכתית. התנועה שהר"מ מכוון לקראתה משמעה הפקעת החמץ מההקשר וראייתו </w:t>
      </w:r>
      <w:proofErr w:type="spellStart"/>
      <w:r w:rsidRPr="00FA63CC">
        <w:rPr>
          <w:rFonts w:hint="cs"/>
          <w:rtl/>
        </w:rPr>
        <w:t>כיישות</w:t>
      </w:r>
      <w:proofErr w:type="spellEnd"/>
      <w:r w:rsidRPr="00FA63CC">
        <w:rPr>
          <w:rFonts w:hint="cs"/>
          <w:rtl/>
        </w:rPr>
        <w:t xml:space="preserve"> בפני עצמה. העפר מסמן את היסודות הראשוניים של החומר </w:t>
      </w:r>
      <w:r w:rsidRPr="00FA63CC">
        <w:rPr>
          <w:rtl/>
        </w:rPr>
        <w:t>–</w:t>
      </w:r>
      <w:r w:rsidRPr="00FA63CC">
        <w:rPr>
          <w:rFonts w:hint="cs"/>
          <w:rtl/>
        </w:rPr>
        <w:t xml:space="preserve"> הכול בא מן העפר והכול שב אל העפר. זו תנועה שדומה לשביתת כלים בשבת לשיטת ב"ש וכן לשביתת השור והחמור. החמץ נתפס כאוכל. גם ברמת השפה </w:t>
      </w:r>
      <w:r w:rsidRPr="00FA63CC">
        <w:rPr>
          <w:rtl/>
        </w:rPr>
        <w:t>–</w:t>
      </w:r>
      <w:r w:rsidRPr="00FA63CC">
        <w:rPr>
          <w:rFonts w:hint="cs"/>
          <w:rtl/>
        </w:rPr>
        <w:t xml:space="preserve"> המילה 'אוכל' וכן 'חמץ' מאותתים לדבר שהוא לניכוס האדם. הלצה ידועה - 'לעוגה אין מציאות כי ברגע שזה יש זה אין'. המאמץ של ההשבתה הוא להעלות את החמץ להיות </w:t>
      </w:r>
      <w:proofErr w:type="spellStart"/>
      <w:r w:rsidRPr="00FA63CC">
        <w:rPr>
          <w:rFonts w:hint="cs"/>
          <w:rtl/>
        </w:rPr>
        <w:t>יישות</w:t>
      </w:r>
      <w:proofErr w:type="spellEnd"/>
      <w:r w:rsidRPr="00FA63CC">
        <w:rPr>
          <w:rFonts w:hint="cs"/>
          <w:rtl/>
        </w:rPr>
        <w:t xml:space="preserve"> בפני עצמה. לדוגמא: הרכב נתפס אצלי כשלי, </w:t>
      </w:r>
      <w:proofErr w:type="spellStart"/>
      <w:r w:rsidRPr="00FA63CC">
        <w:rPr>
          <w:rFonts w:hint="cs"/>
          <w:rtl/>
        </w:rPr>
        <w:t>כאינסטרומנט</w:t>
      </w:r>
      <w:proofErr w:type="spellEnd"/>
      <w:r w:rsidRPr="00FA63CC">
        <w:rPr>
          <w:rFonts w:hint="cs"/>
          <w:rtl/>
        </w:rPr>
        <w:t xml:space="preserve"> וכיו"ב. בשבת משתנה המבט </w:t>
      </w:r>
      <w:r w:rsidRPr="00FA63CC">
        <w:rPr>
          <w:rtl/>
        </w:rPr>
        <w:t>–</w:t>
      </w:r>
      <w:r w:rsidRPr="00FA63CC">
        <w:rPr>
          <w:rFonts w:hint="cs"/>
          <w:rtl/>
        </w:rPr>
        <w:t xml:space="preserve"> הרכב בחנייה שאף נשרו עליו עלים הוא </w:t>
      </w:r>
      <w:proofErr w:type="spellStart"/>
      <w:r w:rsidRPr="00FA63CC">
        <w:rPr>
          <w:rFonts w:hint="cs"/>
          <w:rtl/>
        </w:rPr>
        <w:t>יישות</w:t>
      </w:r>
      <w:proofErr w:type="spellEnd"/>
      <w:r w:rsidRPr="00FA63CC">
        <w:rPr>
          <w:rFonts w:hint="cs"/>
          <w:rtl/>
        </w:rPr>
        <w:t xml:space="preserve"> שיש לה מקום בפני עצמו. זה מובנה של ההשבתה וגם של החירות. כך גם שביתת הקרקע בשביעית: כל השנים האדמה היא משאב לניצולו של האדם. בשביעית 'שבת לה' </w:t>
      </w:r>
      <w:r w:rsidRPr="00FA63CC">
        <w:rPr>
          <w:rtl/>
        </w:rPr>
        <w:t>–</w:t>
      </w:r>
      <w:r w:rsidRPr="00FA63CC">
        <w:rPr>
          <w:rFonts w:hint="cs"/>
          <w:rtl/>
        </w:rPr>
        <w:t xml:space="preserve"> לאדמה יש </w:t>
      </w:r>
      <w:proofErr w:type="spellStart"/>
      <w:r w:rsidRPr="00FA63CC">
        <w:rPr>
          <w:rFonts w:hint="cs"/>
          <w:rtl/>
        </w:rPr>
        <w:t>יישות</w:t>
      </w:r>
      <w:proofErr w:type="spellEnd"/>
      <w:r w:rsidRPr="00FA63CC">
        <w:rPr>
          <w:rFonts w:hint="cs"/>
          <w:rtl/>
        </w:rPr>
        <w:t xml:space="preserve"> בפני עצמה. בהקשר של השבתת חמץ: יש בתנועה זו תיקון האוכל. עצם האפשרות לראות את האוכל לא כאוכל אלא כעפר, כמציאות בפני עצמה, זה בעצמו העלאה של האוכל. כך גם היחס שבין סעודת חול לסעודת שבת. ניתן לדבר על שלושה מצבים שניתן לנסחם בשפה של </w:t>
      </w:r>
      <w:proofErr w:type="spellStart"/>
      <w:r w:rsidRPr="00FA63CC">
        <w:rPr>
          <w:rFonts w:hint="cs"/>
          <w:rtl/>
        </w:rPr>
        <w:t>האריז"ל</w:t>
      </w:r>
      <w:proofErr w:type="spellEnd"/>
      <w:r w:rsidRPr="00FA63CC">
        <w:rPr>
          <w:rFonts w:hint="cs"/>
          <w:rtl/>
        </w:rPr>
        <w:t xml:space="preserve"> </w:t>
      </w:r>
      <w:r w:rsidRPr="00FA63CC">
        <w:rPr>
          <w:rtl/>
        </w:rPr>
        <w:t>–</w:t>
      </w:r>
      <w:r w:rsidRPr="00FA63CC">
        <w:rPr>
          <w:rFonts w:hint="cs"/>
          <w:rtl/>
        </w:rPr>
        <w:t xml:space="preserve"> אחור באחור, נסירה, </w:t>
      </w:r>
      <w:proofErr w:type="spellStart"/>
      <w:r w:rsidRPr="00FA63CC">
        <w:rPr>
          <w:rFonts w:hint="cs"/>
          <w:rtl/>
        </w:rPr>
        <w:t>פב"פ</w:t>
      </w:r>
      <w:proofErr w:type="spellEnd"/>
      <w:r w:rsidRPr="00FA63CC">
        <w:rPr>
          <w:rFonts w:hint="cs"/>
          <w:rtl/>
        </w:rPr>
        <w:t xml:space="preserve">. המבט המנכס הוא אחור באחור, ההשבתה היא הנסירה, אכילת המצה היא </w:t>
      </w:r>
      <w:proofErr w:type="spellStart"/>
      <w:r w:rsidRPr="00FA63CC">
        <w:rPr>
          <w:rFonts w:hint="cs"/>
          <w:rtl/>
        </w:rPr>
        <w:t>פב"פ</w:t>
      </w:r>
      <w:proofErr w:type="spellEnd"/>
      <w:r w:rsidRPr="00FA63CC">
        <w:rPr>
          <w:rFonts w:hint="cs"/>
          <w:rtl/>
        </w:rPr>
        <w:t xml:space="preserve">. ניתן להעלות גם את ארוחת החול ע"י דברים הנוהגים בסעודה </w:t>
      </w:r>
      <w:r w:rsidRPr="00FA63CC">
        <w:rPr>
          <w:rtl/>
        </w:rPr>
        <w:t>–</w:t>
      </w:r>
      <w:r w:rsidRPr="00FA63CC">
        <w:rPr>
          <w:rFonts w:hint="cs"/>
          <w:rtl/>
        </w:rPr>
        <w:t xml:space="preserve"> ברכות, מתינות באכילה, לעיסה וכיו"ב. סעודת שבת </w:t>
      </w:r>
      <w:proofErr w:type="spellStart"/>
      <w:r w:rsidRPr="00FA63CC">
        <w:rPr>
          <w:rFonts w:hint="cs"/>
          <w:rtl/>
        </w:rPr>
        <w:t>עשוייה</w:t>
      </w:r>
      <w:proofErr w:type="spellEnd"/>
      <w:r w:rsidRPr="00FA63CC">
        <w:rPr>
          <w:rFonts w:hint="cs"/>
          <w:rtl/>
        </w:rPr>
        <w:t xml:space="preserve"> להיות </w:t>
      </w:r>
      <w:proofErr w:type="spellStart"/>
      <w:r w:rsidRPr="00FA63CC">
        <w:rPr>
          <w:rFonts w:hint="cs"/>
          <w:rtl/>
        </w:rPr>
        <w:t>פב"פ</w:t>
      </w:r>
      <w:proofErr w:type="spellEnd"/>
      <w:r w:rsidRPr="00FA63CC">
        <w:rPr>
          <w:rFonts w:hint="cs"/>
          <w:rtl/>
        </w:rPr>
        <w:t xml:space="preserve"> </w:t>
      </w:r>
      <w:r w:rsidRPr="00FA63CC">
        <w:rPr>
          <w:rtl/>
        </w:rPr>
        <w:t>–</w:t>
      </w:r>
      <w:r w:rsidRPr="00FA63CC">
        <w:rPr>
          <w:rFonts w:hint="cs"/>
          <w:rtl/>
        </w:rPr>
        <w:t xml:space="preserve"> אכילה לא ממקום של ניכוס ושליטה אלא ממקום של ביטול והעלאת האוכל עצמו. זה מתבטא בטקסיות של הסעודה </w:t>
      </w:r>
      <w:r w:rsidRPr="00FA63CC">
        <w:rPr>
          <w:rtl/>
        </w:rPr>
        <w:t>–</w:t>
      </w:r>
      <w:r w:rsidRPr="00FA63CC">
        <w:rPr>
          <w:rFonts w:hint="cs"/>
          <w:rtl/>
        </w:rPr>
        <w:t xml:space="preserve"> הקידוש, הזמירות, המשפחתיות וכיו"ב. בליל הסדר זה גבוה אף יותר משבת: זו ממש סעודת גאולה במובן הזה שבאה בעקבות השבתת החמץ. אכילת המצה היא מיכל </w:t>
      </w:r>
      <w:proofErr w:type="spellStart"/>
      <w:r w:rsidRPr="00FA63CC">
        <w:rPr>
          <w:rFonts w:hint="cs"/>
          <w:rtl/>
        </w:rPr>
        <w:t>דאסוותא</w:t>
      </w:r>
      <w:proofErr w:type="spellEnd"/>
      <w:r w:rsidRPr="00FA63CC">
        <w:rPr>
          <w:rFonts w:hint="cs"/>
          <w:rtl/>
        </w:rPr>
        <w:t xml:space="preserve">. הגאולה נעוצה בתיקון האוכל [עקרון שמפותח אצל ר' צדוק] </w:t>
      </w:r>
      <w:r w:rsidRPr="00FA63CC">
        <w:rPr>
          <w:rtl/>
        </w:rPr>
        <w:t>–</w:t>
      </w:r>
      <w:r w:rsidRPr="00FA63CC">
        <w:rPr>
          <w:rFonts w:hint="cs"/>
          <w:rtl/>
        </w:rPr>
        <w:t xml:space="preserve"> זה קו פרשת המים של ביטול האדם </w:t>
      </w:r>
      <w:proofErr w:type="spellStart"/>
      <w:r w:rsidRPr="00FA63CC">
        <w:rPr>
          <w:rFonts w:hint="cs"/>
          <w:rtl/>
        </w:rPr>
        <w:t>ונבראותו</w:t>
      </w:r>
      <w:proofErr w:type="spellEnd"/>
      <w:r w:rsidRPr="00FA63CC">
        <w:rPr>
          <w:rFonts w:hint="cs"/>
          <w:rtl/>
        </w:rPr>
        <w:t xml:space="preserve"> </w:t>
      </w:r>
      <w:r w:rsidRPr="00FA63CC">
        <w:rPr>
          <w:rtl/>
        </w:rPr>
        <w:t>–</w:t>
      </w:r>
      <w:r w:rsidRPr="00FA63CC">
        <w:rPr>
          <w:rFonts w:hint="cs"/>
          <w:rtl/>
        </w:rPr>
        <w:t xml:space="preserve"> זה תיקון של הכוחנות וההשתלטות האנושית והפיכתו של האדם </w:t>
      </w:r>
      <w:proofErr w:type="spellStart"/>
      <w:r w:rsidRPr="00FA63CC">
        <w:rPr>
          <w:rFonts w:hint="cs"/>
          <w:rtl/>
        </w:rPr>
        <w:t>למתכלל</w:t>
      </w:r>
      <w:proofErr w:type="spellEnd"/>
      <w:r w:rsidRPr="00FA63CC">
        <w:rPr>
          <w:rFonts w:hint="cs"/>
          <w:rtl/>
        </w:rPr>
        <w:t xml:space="preserve"> ונותן מקום לכל. ניתן לנסח עקרונות אלו כמעבר משם 'אל שדי' למקום של שם הוויה. אל שדי הוא ההקשר </w:t>
      </w:r>
      <w:r w:rsidRPr="00FA63CC">
        <w:rPr>
          <w:rtl/>
        </w:rPr>
        <w:t>–</w:t>
      </w:r>
      <w:r w:rsidRPr="00FA63CC">
        <w:rPr>
          <w:rFonts w:hint="cs"/>
          <w:rtl/>
        </w:rPr>
        <w:t xml:space="preserve"> איננו תופסים את הדברים מצד עצמם אלא מצד הקשרם. שם הוויה הוא מצב של מליאות של הוויה, הדבר לכשעצמו. הגאולה היא מעבר מאל שדי לשם הוויה. [בשפת ההגדה: לא ע"י מלאך ולא ע"י שרף אלא ע"י הקב"ה בעצמו </w:t>
      </w:r>
      <w:r w:rsidRPr="00FA63CC">
        <w:rPr>
          <w:rtl/>
        </w:rPr>
        <w:t>–</w:t>
      </w:r>
      <w:r w:rsidRPr="00FA63CC">
        <w:rPr>
          <w:rFonts w:hint="cs"/>
          <w:rtl/>
        </w:rPr>
        <w:t xml:space="preserve"> המלאך והשרף הם הקשרים עמומים של העצמיות].</w:t>
      </w:r>
    </w:p>
    <w:p w:rsidR="00FA63CC" w:rsidRPr="00FA63CC" w:rsidRDefault="00FA63CC" w:rsidP="00FA63CC">
      <w:pPr>
        <w:pStyle w:val="a3"/>
        <w:rPr>
          <w:rFonts w:hint="cs"/>
          <w:rtl/>
        </w:rPr>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45264439"/>
      <w:docPartObj>
        <w:docPartGallery w:val="Page Numbers (Top of Page)"/>
        <w:docPartUnique/>
      </w:docPartObj>
    </w:sdtPr>
    <w:sdtContent>
      <w:p w:rsidR="005614D4" w:rsidRDefault="005614D4">
        <w:pPr>
          <w:pStyle w:val="a5"/>
          <w:jc w:val="center"/>
        </w:pPr>
        <w:fldSimple w:instr=" PAGE   \* MERGEFORMAT ">
          <w:r w:rsidR="00FA63CC" w:rsidRPr="00FA63CC">
            <w:rPr>
              <w:rFonts w:cs="Calibri"/>
              <w:noProof/>
              <w:rtl/>
              <w:lang w:val="he-IL"/>
            </w:rPr>
            <w:t>1</w:t>
          </w:r>
        </w:fldSimple>
      </w:p>
    </w:sdtContent>
  </w:sdt>
  <w:p w:rsidR="005614D4" w:rsidRDefault="005614D4">
    <w:pPr>
      <w:pStyle w:val="a5"/>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drawingGridHorizontalSpacing w:val="100"/>
  <w:displayHorizontalDrawingGridEvery w:val="2"/>
  <w:characterSpacingControl w:val="doNotCompress"/>
  <w:footnotePr>
    <w:footnote w:id="0"/>
    <w:footnote w:id="1"/>
  </w:footnotePr>
  <w:endnotePr>
    <w:endnote w:id="0"/>
    <w:endnote w:id="1"/>
  </w:endnotePr>
  <w:compat/>
  <w:rsids>
    <w:rsidRoot w:val="005614D4"/>
    <w:rsid w:val="00005F8A"/>
    <w:rsid w:val="0008118E"/>
    <w:rsid w:val="000B498E"/>
    <w:rsid w:val="000F533D"/>
    <w:rsid w:val="003A7596"/>
    <w:rsid w:val="00505EB9"/>
    <w:rsid w:val="005614D4"/>
    <w:rsid w:val="00CF21FD"/>
    <w:rsid w:val="00D6099C"/>
    <w:rsid w:val="00FA63CC"/>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ajorBidi" w:eastAsiaTheme="minorHAnsi" w:hAnsiTheme="majorBidi" w:cs="Times New Roman"/>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5EB9"/>
    <w:pPr>
      <w:bidi/>
    </w:pPr>
    <w:rPr>
      <w:rFonts w:ascii="Times New Roman" w:eastAsia="Calibri" w:hAnsi="Times New Roman"/>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5614D4"/>
    <w:pPr>
      <w:bidi/>
      <w:spacing w:after="0" w:line="240" w:lineRule="auto"/>
    </w:pPr>
  </w:style>
  <w:style w:type="paragraph" w:styleId="a5">
    <w:name w:val="header"/>
    <w:basedOn w:val="a"/>
    <w:link w:val="a6"/>
    <w:uiPriority w:val="99"/>
    <w:unhideWhenUsed/>
    <w:rsid w:val="005614D4"/>
    <w:pPr>
      <w:tabs>
        <w:tab w:val="center" w:pos="4153"/>
        <w:tab w:val="right" w:pos="8306"/>
      </w:tabs>
      <w:spacing w:after="0" w:line="240" w:lineRule="auto"/>
    </w:pPr>
    <w:rPr>
      <w:rFonts w:asciiTheme="majorBidi" w:eastAsiaTheme="minorHAnsi" w:hAnsiTheme="majorBidi"/>
      <w:sz w:val="20"/>
      <w:szCs w:val="20"/>
    </w:rPr>
  </w:style>
  <w:style w:type="character" w:customStyle="1" w:styleId="a6">
    <w:name w:val="כותרת עליונה תו"/>
    <w:basedOn w:val="a0"/>
    <w:link w:val="a5"/>
    <w:uiPriority w:val="99"/>
    <w:rsid w:val="005614D4"/>
  </w:style>
  <w:style w:type="paragraph" w:styleId="a7">
    <w:name w:val="footer"/>
    <w:basedOn w:val="a"/>
    <w:link w:val="a8"/>
    <w:uiPriority w:val="99"/>
    <w:semiHidden/>
    <w:unhideWhenUsed/>
    <w:rsid w:val="005614D4"/>
    <w:pPr>
      <w:tabs>
        <w:tab w:val="center" w:pos="4153"/>
        <w:tab w:val="right" w:pos="8306"/>
      </w:tabs>
      <w:spacing w:after="0" w:line="240" w:lineRule="auto"/>
    </w:pPr>
    <w:rPr>
      <w:rFonts w:asciiTheme="majorBidi" w:eastAsiaTheme="minorHAnsi" w:hAnsiTheme="majorBidi"/>
      <w:sz w:val="20"/>
      <w:szCs w:val="20"/>
    </w:rPr>
  </w:style>
  <w:style w:type="character" w:customStyle="1" w:styleId="a8">
    <w:name w:val="כותרת תחתונה תו"/>
    <w:basedOn w:val="a0"/>
    <w:link w:val="a7"/>
    <w:uiPriority w:val="99"/>
    <w:semiHidden/>
    <w:rsid w:val="005614D4"/>
  </w:style>
  <w:style w:type="character" w:customStyle="1" w:styleId="a4">
    <w:name w:val="ללא מרווח תו"/>
    <w:basedOn w:val="a0"/>
    <w:link w:val="a3"/>
    <w:uiPriority w:val="1"/>
    <w:locked/>
    <w:rsid w:val="00505EB9"/>
  </w:style>
  <w:style w:type="paragraph" w:styleId="a9">
    <w:name w:val="footnote text"/>
    <w:basedOn w:val="a"/>
    <w:link w:val="aa"/>
    <w:semiHidden/>
    <w:rsid w:val="00FA63CC"/>
    <w:pPr>
      <w:spacing w:after="0" w:line="240" w:lineRule="auto"/>
    </w:pPr>
    <w:rPr>
      <w:rFonts w:eastAsia="Times New Roman"/>
      <w:sz w:val="20"/>
      <w:szCs w:val="20"/>
    </w:rPr>
  </w:style>
  <w:style w:type="character" w:customStyle="1" w:styleId="aa">
    <w:name w:val="טקסט הערת שוליים תו"/>
    <w:basedOn w:val="a0"/>
    <w:link w:val="a9"/>
    <w:semiHidden/>
    <w:rsid w:val="00FA63CC"/>
    <w:rPr>
      <w:rFonts w:ascii="Times New Roman" w:eastAsia="Times New Roman" w:hAnsi="Times New Roman"/>
    </w:rPr>
  </w:style>
  <w:style w:type="character" w:styleId="ab">
    <w:name w:val="footnote reference"/>
    <w:basedOn w:val="a0"/>
    <w:semiHidden/>
    <w:rsid w:val="00FA63CC"/>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TotalTime>
  <Pages>2</Pages>
  <Words>887</Words>
  <Characters>4438</Characters>
  <Application>Microsoft Office Word</Application>
  <DocSecurity>0</DocSecurity>
  <Lines>36</Lines>
  <Paragraphs>10</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5315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user1</cp:lastModifiedBy>
  <cp:revision>4</cp:revision>
  <dcterms:created xsi:type="dcterms:W3CDTF">2016-03-28T18:27:00Z</dcterms:created>
  <dcterms:modified xsi:type="dcterms:W3CDTF">2016-03-28T19:53:00Z</dcterms:modified>
</cp:coreProperties>
</file>