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B70" w:rsidRPr="000F3B70" w:rsidRDefault="000F3B70" w:rsidP="00DF5A1D">
      <w:pPr>
        <w:pStyle w:val="1"/>
        <w:spacing w:line="360" w:lineRule="auto"/>
        <w:jc w:val="both"/>
        <w:rPr>
          <w:rFonts w:ascii="FrankRuehl" w:hAnsi="FrankRuehl" w:cs="FrankRuehl"/>
          <w:b w:val="0"/>
          <w:bCs w:val="0"/>
          <w:sz w:val="16"/>
          <w:szCs w:val="16"/>
          <w:rtl/>
        </w:rPr>
      </w:pPr>
      <w:bookmarkStart w:id="0" w:name="_Toc343365465"/>
      <w:r w:rsidRPr="000F3B70">
        <w:rPr>
          <w:rFonts w:ascii="FrankRuehl" w:hAnsi="FrankRuehl" w:cs="FrankRuehl" w:hint="cs"/>
          <w:b w:val="0"/>
          <w:bCs w:val="0"/>
          <w:sz w:val="16"/>
          <w:szCs w:val="16"/>
          <w:rtl/>
        </w:rPr>
        <w:t xml:space="preserve">לק"י, כד בסיון תשע"ו </w:t>
      </w:r>
      <w:r>
        <w:rPr>
          <w:rFonts w:ascii="FrankRuehl" w:hAnsi="FrankRuehl" w:cs="FrankRuehl" w:hint="cs"/>
          <w:b w:val="0"/>
          <w:bCs w:val="0"/>
          <w:sz w:val="16"/>
          <w:szCs w:val="16"/>
          <w:rtl/>
        </w:rPr>
        <w:t xml:space="preserve">    </w:t>
      </w:r>
      <w:r w:rsidRPr="000F3B70">
        <w:rPr>
          <w:rFonts w:ascii="FrankRuehl" w:hAnsi="FrankRuehl" w:cs="FrankRuehl" w:hint="cs"/>
          <w:b w:val="0"/>
          <w:bCs w:val="0"/>
          <w:sz w:val="16"/>
          <w:szCs w:val="16"/>
          <w:rtl/>
        </w:rPr>
        <w:t>לעי"נ הרב שג"ר</w:t>
      </w:r>
      <w:r>
        <w:rPr>
          <w:rFonts w:ascii="FrankRuehl" w:hAnsi="FrankRuehl" w:cs="FrankRuehl" w:hint="cs"/>
          <w:b w:val="0"/>
          <w:bCs w:val="0"/>
          <w:sz w:val="16"/>
          <w:szCs w:val="16"/>
          <w:rtl/>
        </w:rPr>
        <w:t xml:space="preserve"> זצ"ל</w:t>
      </w:r>
      <w:r w:rsidRPr="000F3B70">
        <w:rPr>
          <w:rFonts w:ascii="FrankRuehl" w:hAnsi="FrankRuehl" w:cs="FrankRuehl" w:hint="cs"/>
          <w:b w:val="0"/>
          <w:bCs w:val="0"/>
          <w:sz w:val="16"/>
          <w:szCs w:val="16"/>
          <w:rtl/>
        </w:rPr>
        <w:t xml:space="preserve"> במלאת 9 שנים לפטירתו</w:t>
      </w:r>
    </w:p>
    <w:p w:rsidR="000F3B70" w:rsidRDefault="000F3B70" w:rsidP="00DF5A1D">
      <w:pPr>
        <w:pStyle w:val="1"/>
        <w:spacing w:line="360" w:lineRule="auto"/>
        <w:jc w:val="both"/>
        <w:rPr>
          <w:rFonts w:ascii="FrankRuehl" w:hAnsi="FrankRuehl" w:cs="FrankRuehl"/>
          <w:sz w:val="22"/>
          <w:szCs w:val="22"/>
          <w:u w:val="single"/>
          <w:rtl/>
        </w:rPr>
      </w:pPr>
    </w:p>
    <w:p w:rsidR="00DF5A1D" w:rsidRPr="00DF5A1D" w:rsidRDefault="00DF5A1D" w:rsidP="00DF5A1D">
      <w:pPr>
        <w:pStyle w:val="1"/>
        <w:spacing w:line="360" w:lineRule="auto"/>
        <w:jc w:val="both"/>
        <w:rPr>
          <w:rFonts w:ascii="FrankRuehl" w:hAnsi="FrankRuehl" w:cs="FrankRuehl" w:hint="cs"/>
          <w:sz w:val="22"/>
          <w:szCs w:val="22"/>
          <w:u w:val="single"/>
          <w:rtl/>
        </w:rPr>
      </w:pPr>
      <w:r w:rsidRPr="00DF5A1D">
        <w:rPr>
          <w:rFonts w:ascii="FrankRuehl" w:hAnsi="FrankRuehl" w:cs="FrankRuehl" w:hint="cs"/>
          <w:sz w:val="22"/>
          <w:szCs w:val="22"/>
          <w:u w:val="single"/>
          <w:rtl/>
        </w:rPr>
        <w:t>הרב שג"ר נפגש עם תורות המזרח</w:t>
      </w:r>
    </w:p>
    <w:p w:rsidR="000F3B70" w:rsidRDefault="000F3B70" w:rsidP="00DF5A1D">
      <w:pPr>
        <w:pStyle w:val="1"/>
        <w:spacing w:line="360" w:lineRule="auto"/>
        <w:jc w:val="both"/>
        <w:rPr>
          <w:rFonts w:ascii="FrankRuehl" w:hAnsi="FrankRuehl" w:cs="FrankRuehl"/>
          <w:sz w:val="22"/>
          <w:szCs w:val="22"/>
          <w:rtl/>
        </w:rPr>
      </w:pPr>
    </w:p>
    <w:p w:rsidR="000F3B70" w:rsidRDefault="000E2CFC" w:rsidP="00B37469">
      <w:pPr>
        <w:pStyle w:val="1"/>
        <w:spacing w:line="360" w:lineRule="auto"/>
        <w:jc w:val="both"/>
        <w:rPr>
          <w:rFonts w:ascii="FrankRuehl" w:hAnsi="FrankRuehl" w:cs="FrankRuehl"/>
          <w:b w:val="0"/>
          <w:bCs w:val="0"/>
          <w:sz w:val="22"/>
          <w:szCs w:val="22"/>
          <w:rtl/>
        </w:rPr>
      </w:pPr>
      <w:r w:rsidRPr="00DF5A1D">
        <w:rPr>
          <w:rFonts w:ascii="FrankRuehl" w:hAnsi="FrankRuehl" w:cs="FrankRuehl"/>
          <w:sz w:val="22"/>
          <w:szCs w:val="22"/>
          <w:rtl/>
        </w:rPr>
        <w:t xml:space="preserve">לוחות ושברי לוחות, </w:t>
      </w:r>
      <w:bookmarkEnd w:id="0"/>
      <w:r w:rsidR="00B37469">
        <w:rPr>
          <w:rFonts w:ascii="FrankRuehl" w:hAnsi="FrankRuehl" w:cs="FrankRuehl"/>
          <w:sz w:val="22"/>
          <w:szCs w:val="22"/>
          <w:rtl/>
        </w:rPr>
        <w:t>עמ'</w:t>
      </w:r>
      <w:r w:rsidR="00B37469">
        <w:rPr>
          <w:rFonts w:ascii="FrankRuehl" w:hAnsi="FrankRuehl" w:cs="FrankRuehl" w:hint="cs"/>
          <w:b w:val="0"/>
          <w:bCs w:val="0"/>
          <w:sz w:val="22"/>
          <w:szCs w:val="22"/>
          <w:rtl/>
        </w:rPr>
        <w:t xml:space="preserve"> 135-106</w:t>
      </w:r>
      <w:r w:rsidRPr="00DF5A1D">
        <w:rPr>
          <w:rFonts w:ascii="FrankRuehl" w:hAnsi="FrankRuehl" w:cs="FrankRuehl"/>
          <w:b w:val="0"/>
          <w:bCs w:val="0"/>
          <w:sz w:val="22"/>
          <w:szCs w:val="22"/>
          <w:rtl/>
        </w:rPr>
        <w:t xml:space="preserve">: </w:t>
      </w:r>
    </w:p>
    <w:p w:rsidR="000E2CFC" w:rsidRPr="00DF5A1D" w:rsidRDefault="000F3B70" w:rsidP="00DF5A1D">
      <w:pPr>
        <w:pStyle w:val="1"/>
        <w:spacing w:line="360" w:lineRule="auto"/>
        <w:jc w:val="both"/>
        <w:rPr>
          <w:rFonts w:ascii="FrankRuehl" w:hAnsi="FrankRuehl" w:cs="FrankRuehl"/>
          <w:b w:val="0"/>
          <w:bCs w:val="0"/>
          <w:sz w:val="22"/>
          <w:szCs w:val="22"/>
          <w:rtl/>
        </w:rPr>
      </w:pPr>
      <w:r w:rsidRPr="000F3B70">
        <w:rPr>
          <w:rFonts w:ascii="Miriam" w:hAnsi="Miriam" w:cs="Miriam"/>
          <w:b w:val="0"/>
          <w:bCs w:val="0"/>
          <w:sz w:val="22"/>
          <w:szCs w:val="22"/>
          <w:rtl/>
        </w:rPr>
        <w:t>א</w:t>
      </w:r>
      <w:r>
        <w:rPr>
          <w:rFonts w:ascii="FrankRuehl" w:hAnsi="FrankRuehl" w:cs="FrankRuehl" w:hint="cs"/>
          <w:b w:val="0"/>
          <w:bCs w:val="0"/>
          <w:sz w:val="22"/>
          <w:szCs w:val="22"/>
          <w:rtl/>
        </w:rPr>
        <w:t xml:space="preserve"> </w:t>
      </w:r>
      <w:r w:rsidR="000E2CFC" w:rsidRPr="00DF5A1D">
        <w:rPr>
          <w:rFonts w:ascii="FrankRuehl" w:hAnsi="FrankRuehl" w:cs="FrankRuehl"/>
          <w:b w:val="0"/>
          <w:bCs w:val="0"/>
          <w:sz w:val="22"/>
          <w:szCs w:val="22"/>
          <w:rtl/>
        </w:rPr>
        <w:t>ההתמודדות עם תרבות המערב היא אחד הנושאים המרכזיים בחינוך הדתי; בשנים האחרונות, כאשר בקרב הנוסעים להודו נוכל ל</w:t>
      </w:r>
      <w:r w:rsidR="000E2CFC" w:rsidRPr="00DF5A1D">
        <w:rPr>
          <w:rFonts w:ascii="FrankRuehl" w:hAnsi="FrankRuehl" w:cs="FrankRuehl"/>
          <w:b w:val="0"/>
          <w:bCs w:val="0"/>
          <w:sz w:val="22"/>
          <w:szCs w:val="22"/>
          <w:rtl/>
        </w:rPr>
        <w:t xml:space="preserve">מצוא את בני ובנות הציונות הדתית... </w:t>
      </w:r>
      <w:r w:rsidR="000E2CFC" w:rsidRPr="00DF5A1D">
        <w:rPr>
          <w:rFonts w:ascii="FrankRuehl" w:hAnsi="FrankRuehl" w:cs="FrankRuehl"/>
          <w:b w:val="0"/>
          <w:bCs w:val="0"/>
          <w:sz w:val="22"/>
          <w:szCs w:val="22"/>
          <w:rtl/>
        </w:rPr>
        <w:t>מתווספת להתמודדות זו שאלת היחס לתרבות המזרח.</w:t>
      </w:r>
      <w:r w:rsidR="000E2CFC" w:rsidRPr="00DF5A1D">
        <w:rPr>
          <w:rFonts w:ascii="FrankRuehl" w:hAnsi="FrankRuehl" w:cs="FrankRuehl"/>
          <w:b w:val="0"/>
          <w:bCs w:val="0"/>
          <w:sz w:val="22"/>
          <w:szCs w:val="22"/>
          <w:rtl/>
        </w:rPr>
        <w:t xml:space="preserve"> </w:t>
      </w:r>
    </w:p>
    <w:p w:rsidR="000E2CFC" w:rsidRPr="00DF5A1D" w:rsidRDefault="000E2CFC" w:rsidP="000F3B70">
      <w:pPr>
        <w:rPr>
          <w:rFonts w:ascii="FrankRuehl" w:hAnsi="FrankRuehl" w:cs="FrankRuehl"/>
          <w:sz w:val="22"/>
          <w:szCs w:val="22"/>
          <w:rtl/>
        </w:rPr>
      </w:pPr>
      <w:r w:rsidRPr="00DF5A1D">
        <w:rPr>
          <w:rFonts w:ascii="FrankRuehl" w:hAnsi="FrankRuehl" w:cs="FrankRuehl"/>
          <w:sz w:val="22"/>
          <w:szCs w:val="22"/>
          <w:rtl/>
        </w:rPr>
        <w:t>לא פעם מנסים להתמודד עם התרבות הזרה, המערבית או המזרחית, באמצעות ההבחנה בין האור לבין הכלי – הבחנה המצויה אפילו אצל הרב קוק, שללא ספק ניהל דיאלוג מורכב עם תרבות המערב</w:t>
      </w:r>
      <w:r w:rsidR="000F3B70">
        <w:rPr>
          <w:rFonts w:ascii="FrankRuehl" w:hAnsi="FrankRuehl" w:cs="FrankRuehl" w:hint="cs"/>
          <w:sz w:val="22"/>
          <w:szCs w:val="22"/>
          <w:rtl/>
        </w:rPr>
        <w:t>.</w:t>
      </w:r>
    </w:p>
    <w:p w:rsidR="000E2CFC" w:rsidRPr="00DF5A1D" w:rsidRDefault="000E2CFC" w:rsidP="00DF5A1D">
      <w:pPr>
        <w:rPr>
          <w:rFonts w:ascii="FrankRuehl" w:hAnsi="FrankRuehl" w:cs="FrankRuehl"/>
          <w:sz w:val="22"/>
          <w:szCs w:val="22"/>
          <w:rtl/>
        </w:rPr>
      </w:pPr>
      <w:r w:rsidRPr="00DF5A1D">
        <w:rPr>
          <w:rFonts w:ascii="FrankRuehl" w:hAnsi="FrankRuehl" w:cs="FrankRuehl"/>
          <w:sz w:val="22"/>
          <w:szCs w:val="22"/>
          <w:rtl/>
        </w:rPr>
        <w:t>אולם הבחנה זו אינה מקובלת כיום; למעשה, נראה כי דברי הראי"ה הולמים יותר את התפיסות שהיו מקובלות במסגרת התרבות המערבית של המאות השמונה עשרה והתשע עשרה, שהייתה טכנולוגית ומכשירנית בעיקרה. זו אכן הבחינה בין מהות וביטוי, בין שפה ותוכן, ובין מטרה ואמצעי. התפיסה הפוסטמודרנית, לעומת זאת, אינה מבחינה בין כלי לבין תוכן, וכפי שאמר מקלוהן – המדיה היא המסר. הפוסטמודרניסט ידבר לא על שפה כי אם על שיח, ויראה כיצד שיח זה מעצב את התכנים עצמם ומשפיע עליהם. כל שכן שאין להחיל דיכוטומיה זו על תרבות המזרח. זו בוודאי שוללת את הגישה התכליתנית, אך מעבר לכך, היא אינה מבחינה כלל בין אור לבין כלי; לעתים היא מסרבת להציב מטרות, כך שממילא גם איננה מבחינה בין מטרה ואמצעי.</w:t>
      </w:r>
    </w:p>
    <w:p w:rsidR="000E2CFC" w:rsidRPr="00DF5A1D" w:rsidRDefault="000F3B70" w:rsidP="00DF5A1D">
      <w:pPr>
        <w:rPr>
          <w:rFonts w:ascii="FrankRuehl" w:hAnsi="FrankRuehl" w:cs="FrankRuehl"/>
          <w:sz w:val="22"/>
          <w:szCs w:val="22"/>
          <w:rtl/>
        </w:rPr>
      </w:pPr>
      <w:r w:rsidRPr="000F3B70">
        <w:rPr>
          <w:rFonts w:ascii="Miriam" w:hAnsi="Miriam" w:cs="Miriam"/>
          <w:sz w:val="22"/>
          <w:szCs w:val="22"/>
          <w:rtl/>
        </w:rPr>
        <w:t>ב</w:t>
      </w:r>
      <w:r>
        <w:rPr>
          <w:rFonts w:ascii="FrankRuehl" w:hAnsi="FrankRuehl" w:cs="FrankRuehl" w:hint="cs"/>
          <w:sz w:val="22"/>
          <w:szCs w:val="22"/>
          <w:rtl/>
        </w:rPr>
        <w:t xml:space="preserve"> </w:t>
      </w:r>
      <w:r w:rsidR="000E2CFC" w:rsidRPr="00DF5A1D">
        <w:rPr>
          <w:rFonts w:ascii="FrankRuehl" w:hAnsi="FrankRuehl" w:cs="FrankRuehl"/>
          <w:sz w:val="22"/>
          <w:szCs w:val="22"/>
          <w:rtl/>
        </w:rPr>
        <w:t>אכן, גם אם נמצא קווי דמיון ה</w:t>
      </w:r>
      <w:r w:rsidR="000E2CFC" w:rsidRPr="00DF5A1D">
        <w:rPr>
          <w:rFonts w:ascii="FrankRuehl" w:hAnsi="FrankRuehl" w:cs="FrankRuehl"/>
          <w:sz w:val="22"/>
          <w:szCs w:val="22"/>
          <w:rtl/>
        </w:rPr>
        <w:t>גותיים או מעשיים משותפים ליהדות</w:t>
      </w:r>
      <w:r w:rsidR="000E2CFC" w:rsidRPr="00DF5A1D">
        <w:rPr>
          <w:rFonts w:ascii="FrankRuehl" w:hAnsi="FrankRuehl" w:cs="FrankRuehl"/>
          <w:sz w:val="22"/>
          <w:szCs w:val="22"/>
          <w:rtl/>
        </w:rPr>
        <w:t xml:space="preserve"> מכאן, ולתרבות המערב </w:t>
      </w:r>
      <w:r w:rsidR="000E2CFC" w:rsidRPr="00DF5A1D">
        <w:rPr>
          <w:rFonts w:ascii="FrankRuehl" w:hAnsi="FrankRuehl" w:cs="FrankRuehl"/>
          <w:sz w:val="22"/>
          <w:szCs w:val="22"/>
          <w:rtl/>
        </w:rPr>
        <w:t>והמזרח מכאן, כדוגמת הדרכות</w:t>
      </w:r>
      <w:r w:rsidR="000E2CFC" w:rsidRPr="00DF5A1D">
        <w:rPr>
          <w:rFonts w:ascii="FrankRuehl" w:hAnsi="FrankRuehl" w:cs="FrankRuehl"/>
          <w:sz w:val="22"/>
          <w:szCs w:val="22"/>
          <w:rtl/>
        </w:rPr>
        <w:t xml:space="preserve"> המשותפות לחסידות ולתורת הזן־בודהיזם, הרי מה שקובע איננו ההגדרה המופשטת, אלא העיצוב שזו מעצבת את אורחות חיינו, את המנטליות שלנו. פעמים רבות נוכחים אנו לדעת, שרעיונות ואפילו מילים זהות, המושלכים למקומות ולזמנים שונים בעולם (קרי 'עוברים' דרך כלים שונים), מחוללים בו משמעויות שונות ואפילו מנוגדות. זאת מפני שהללו אינם נבחנים לפי התיאוריה, אלא בהקשר ההיסטורי, החברתי, הכלכלי וכו' שבו הם פועלים. זאת משום שכל עוד לא זכינו לביטול היש (בנוסח החסידי, או להתגלות טבעו של בודהא בתוכֵנו, בנוסח ההודי) ואנו שבויים בכבלי הסאמסרה (תודעת ה'אני' הכוזבת, לפי ההינדואיזם) ולכודים מאחורי מסך הבערות, הרי ש</w:t>
      </w:r>
      <w:r w:rsidR="000E2CFC" w:rsidRPr="000F3B70">
        <w:rPr>
          <w:rFonts w:ascii="FrankRuehl" w:hAnsi="FrankRuehl" w:cs="FrankRuehl"/>
          <w:b/>
          <w:bCs/>
          <w:sz w:val="22"/>
          <w:szCs w:val="22"/>
          <w:rtl/>
        </w:rPr>
        <w:t xml:space="preserve">השאלה הקובעת איננה ההגדרה </w:t>
      </w:r>
      <w:r w:rsidR="000E2CFC" w:rsidRPr="000F3B70">
        <w:rPr>
          <w:rFonts w:ascii="FrankRuehl" w:hAnsi="FrankRuehl" w:cs="FrankRuehl"/>
          <w:b/>
          <w:bCs/>
          <w:sz w:val="22"/>
          <w:szCs w:val="22"/>
          <w:rtl/>
        </w:rPr>
        <w:t>המופשטת, הנקייה, הבית־מדרשית, או בשפה אחרת – האור, אלא הכלי, ההקשר שבו מופיע ומתיישם הרעיון</w:t>
      </w:r>
      <w:r w:rsidR="000E2CFC" w:rsidRPr="00DF5A1D">
        <w:rPr>
          <w:rFonts w:ascii="FrankRuehl" w:hAnsi="FrankRuehl" w:cs="FrankRuehl"/>
          <w:sz w:val="22"/>
          <w:szCs w:val="22"/>
          <w:rtl/>
        </w:rPr>
        <w:t>.</w:t>
      </w:r>
    </w:p>
    <w:p w:rsidR="000E2CFC" w:rsidRPr="00DF5A1D" w:rsidRDefault="000E2CFC" w:rsidP="00DF5A1D">
      <w:pPr>
        <w:rPr>
          <w:rFonts w:ascii="FrankRuehl" w:hAnsi="FrankRuehl" w:cs="FrankRuehl"/>
          <w:sz w:val="22"/>
          <w:szCs w:val="22"/>
          <w:rtl/>
        </w:rPr>
      </w:pPr>
      <w:r w:rsidRPr="00DF5A1D">
        <w:rPr>
          <w:rFonts w:ascii="FrankRuehl" w:hAnsi="FrankRuehl" w:cs="FrankRuehl"/>
          <w:sz w:val="22"/>
          <w:szCs w:val="22"/>
          <w:rtl/>
        </w:rPr>
        <w:t>ניתן לומר כי התרבות המערבית התעצבה סביב האדם הנברא בצלם אלוקים ושולט בטבע; מאפיינים אותה הניכור מן הטבע והשאיפה לשלוט עליו. הברכה לאדם על כיבוש הארץ מתבטאת במדע ובטכנולוגיה, אולי ההישג הבולט ביותר של המערב. העולם נתפס כמקור לרכישת ידע וכאובייקט לפיתוח טכנולוגי.</w:t>
      </w:r>
    </w:p>
    <w:p w:rsidR="000E2CFC" w:rsidRPr="00DF5A1D" w:rsidRDefault="000E2CFC" w:rsidP="00DF5A1D">
      <w:pPr>
        <w:rPr>
          <w:rFonts w:ascii="FrankRuehl" w:hAnsi="FrankRuehl" w:cs="FrankRuehl"/>
          <w:sz w:val="22"/>
          <w:szCs w:val="22"/>
          <w:rtl/>
        </w:rPr>
      </w:pPr>
      <w:r w:rsidRPr="00DF5A1D">
        <w:rPr>
          <w:rFonts w:ascii="FrankRuehl" w:hAnsi="FrankRuehl" w:cs="FrankRuehl"/>
          <w:sz w:val="22"/>
          <w:szCs w:val="22"/>
          <w:rtl/>
        </w:rPr>
        <w:t>ע</w:t>
      </w:r>
      <w:r w:rsidRPr="00DF5A1D">
        <w:rPr>
          <w:rFonts w:ascii="FrankRuehl" w:hAnsi="FrankRuehl" w:cs="FrankRuehl"/>
          <w:sz w:val="22"/>
          <w:szCs w:val="22"/>
          <w:rtl/>
        </w:rPr>
        <w:t>מדה זו היא ביסודה עמדה של שניות, של סובייקט מול אובייקט. לאור זאת ניתן להסביר התפתחות של עמדות וערכים שונים, שבבסיסם החירות, האינדיבידואליות, היוזמה והחריצות, וכדומה. מכאן קצרה הדרך להתפתחותן של התפיסות הקפיטליסטיות השולטות כיום במערב, ואף להופעת הדמוקרטיה כצורת השלטון המרכזית במערב: הסובייקט האנושי הריבוני עומד במרכז.</w:t>
      </w:r>
    </w:p>
    <w:p w:rsidR="000E2CFC" w:rsidRPr="00DF5A1D" w:rsidRDefault="000E2CFC" w:rsidP="000F3B70">
      <w:pPr>
        <w:rPr>
          <w:rFonts w:ascii="FrankRuehl" w:hAnsi="FrankRuehl" w:cs="FrankRuehl"/>
          <w:sz w:val="22"/>
          <w:szCs w:val="22"/>
          <w:rtl/>
        </w:rPr>
      </w:pPr>
      <w:r w:rsidRPr="00DF5A1D">
        <w:rPr>
          <w:rFonts w:ascii="FrankRuehl" w:hAnsi="FrankRuehl" w:cs="FrankRuehl"/>
          <w:sz w:val="22"/>
          <w:szCs w:val="22"/>
          <w:rtl/>
        </w:rPr>
        <w:t>תפיסה של העולם כמכונה, כישות בעלת חוקיות משל עצמה, חוקיות שניתן ללמוד אותה, וכך לשלוט במכונת היקום – מכוננת לא רק את האובייקט, את הטבע, כמושא של שליטה, אלא גם את הסובייקט כמרכז ההוויה וכבעל משמעות אחרונה. תרבות המזרח שונה. המזרח אינו מנסה להתגבר על הטבע ולשלוט בהוויה, אלא דווקא להתאחד אִתם. מטרתו אינה הידע השולט אלא ההתמזגות. חירותו איננה החירות של הסובייקט המנותק; החירות בעבורו איננה הפעלה של הרצון, אלא זרימה עם ההוויה.</w:t>
      </w:r>
    </w:p>
    <w:p w:rsidR="000E2CFC" w:rsidRPr="00DF5A1D" w:rsidRDefault="000E2CFC" w:rsidP="00DF5A1D">
      <w:pPr>
        <w:rPr>
          <w:rFonts w:ascii="FrankRuehl" w:hAnsi="FrankRuehl" w:cs="FrankRuehl"/>
          <w:sz w:val="22"/>
          <w:szCs w:val="22"/>
          <w:rtl/>
        </w:rPr>
      </w:pPr>
      <w:r w:rsidRPr="00DF5A1D">
        <w:rPr>
          <w:rFonts w:ascii="FrankRuehl" w:hAnsi="FrankRuehl" w:cs="FrankRuehl"/>
          <w:sz w:val="22"/>
          <w:szCs w:val="22"/>
          <w:rtl/>
        </w:rPr>
        <w:t>מטרת המזרח היא להימנע מהעשייה המוחצנת של האגו ולהגיע דווקא למצב שבו ה'טאו' – הדרך, מסלולה של ההוויה – הוא השולט. איש המזרח שואף לעשות בלי לעשות, מתוך תובנה שעשייה שמקורה באני האנושי תהיה בהכרח מוגבלת ותניב אומללות. רק בהיותו חלק מההוויה ומהטבע – שאיננו טבע של חוקיות, אלא אינסופיות – יקבל האדם את מקומו הנכון. זו הסיבה לכך שהתנהגותו נראית לא פעם כפסיבית בעיני האדם המערבי.</w:t>
      </w:r>
    </w:p>
    <w:p w:rsidR="000E2CFC" w:rsidRPr="00DF5A1D" w:rsidRDefault="000E2CFC" w:rsidP="00DF5A1D">
      <w:pPr>
        <w:rPr>
          <w:rFonts w:ascii="FrankRuehl" w:hAnsi="FrankRuehl" w:cs="FrankRuehl"/>
          <w:sz w:val="22"/>
          <w:szCs w:val="22"/>
          <w:rtl/>
        </w:rPr>
      </w:pPr>
      <w:r w:rsidRPr="00DF5A1D">
        <w:rPr>
          <w:rFonts w:ascii="FrankRuehl" w:hAnsi="FrankRuehl" w:cs="FrankRuehl"/>
          <w:sz w:val="22"/>
          <w:szCs w:val="22"/>
          <w:rtl/>
        </w:rPr>
        <w:t>מכאן נובעת, למשל, נחשלותו הטכנולוגית של העולם המזרחי, כמו גם ריחוקו מהדמוקרטיה ומהקפיטליזם</w:t>
      </w:r>
      <w:r w:rsidRPr="00DF5A1D">
        <w:rPr>
          <w:rFonts w:ascii="FrankRuehl" w:hAnsi="FrankRuehl" w:cs="FrankRuehl"/>
          <w:sz w:val="22"/>
          <w:szCs w:val="22"/>
          <w:rtl/>
        </w:rPr>
        <w:t xml:space="preserve">. </w:t>
      </w:r>
    </w:p>
    <w:p w:rsidR="000E2CFC" w:rsidRPr="00DF5A1D" w:rsidRDefault="000E2CFC" w:rsidP="00DF5A1D">
      <w:pPr>
        <w:tabs>
          <w:tab w:val="left" w:pos="7226"/>
        </w:tabs>
        <w:rPr>
          <w:rFonts w:ascii="FrankRuehl" w:hAnsi="FrankRuehl" w:cs="FrankRuehl"/>
          <w:sz w:val="22"/>
          <w:szCs w:val="22"/>
          <w:rtl/>
        </w:rPr>
      </w:pPr>
      <w:r w:rsidRPr="00DF5A1D">
        <w:rPr>
          <w:rFonts w:ascii="FrankRuehl" w:hAnsi="FrankRuehl" w:cs="FrankRuehl"/>
          <w:sz w:val="22"/>
          <w:szCs w:val="22"/>
          <w:rtl/>
        </w:rPr>
        <w:t xml:space="preserve">נוכל לומר שההבדל בין המערב לבין המזרח מייצג שני קטבים אלה של האדם: הקוטב שבו הוא חלק מההוויה, קוטב התמימות, אדם שלפני החטא; והקוטב השני שהוא זה </w:t>
      </w:r>
      <w:r w:rsidRPr="00DF5A1D">
        <w:rPr>
          <w:rFonts w:ascii="FrankRuehl" w:hAnsi="FrankRuehl" w:cs="FrankRuehl"/>
          <w:sz w:val="22"/>
          <w:szCs w:val="22"/>
          <w:rtl/>
        </w:rPr>
        <w:lastRenderedPageBreak/>
        <w:t xml:space="preserve">שהאדם בחר בו, המגלם את חטא הבחירה וה'אנא אמלוך', האדם שאחרי החטא. </w:t>
      </w:r>
    </w:p>
    <w:p w:rsidR="000E2CFC" w:rsidRPr="00DF5A1D" w:rsidRDefault="000E2CFC" w:rsidP="00DF5A1D">
      <w:pPr>
        <w:tabs>
          <w:tab w:val="left" w:pos="7226"/>
        </w:tabs>
        <w:rPr>
          <w:rFonts w:ascii="FrankRuehl" w:hAnsi="FrankRuehl" w:cs="FrankRuehl"/>
          <w:sz w:val="22"/>
          <w:szCs w:val="22"/>
          <w:rtl/>
        </w:rPr>
      </w:pPr>
      <w:r w:rsidRPr="00DF5A1D">
        <w:rPr>
          <w:rFonts w:ascii="FrankRuehl" w:hAnsi="FrankRuehl" w:cs="FrankRuehl"/>
          <w:sz w:val="22"/>
          <w:szCs w:val="22"/>
          <w:rtl/>
        </w:rPr>
        <w:t>באופן מעמיק יותר נוכל לנסח את ההבדל שבין התרבויות כהבדל שבין הרצון להחזיר את האדם למצב התום שלפני החטא, בהיותו חלק מההוויה האלוקית, לבין הרצון להמשיך את המגמה של האכילה מעץ הדעת, ולהפוך את האדם לאלוקים השולט על הבריאה. אלא שקידום כזה סופו להביא למפח נפש, שאותו ניתן לתלות בכך ששליטה חיצונית על העולם והתנתקות מאלוקים מאבדות את הממשות עצמה ואת הקיום. הקיום הנו באלוקים.</w:t>
      </w:r>
    </w:p>
    <w:p w:rsidR="000E2CFC" w:rsidRPr="00DF5A1D" w:rsidRDefault="000E2CFC" w:rsidP="00DF5A1D">
      <w:pPr>
        <w:rPr>
          <w:rFonts w:ascii="FrankRuehl" w:hAnsi="FrankRuehl" w:cs="FrankRuehl"/>
          <w:sz w:val="22"/>
          <w:szCs w:val="22"/>
          <w:rtl/>
        </w:rPr>
      </w:pPr>
      <w:r w:rsidRPr="00DF5A1D">
        <w:rPr>
          <w:rFonts w:ascii="FrankRuehl" w:hAnsi="FrankRuehl" w:cs="FrankRuehl"/>
          <w:sz w:val="22"/>
          <w:szCs w:val="22"/>
          <w:rtl/>
        </w:rPr>
        <w:t>חוסר הסיפוק מבטא את הריקנות של תרבות המערב, את הכשל הבסיסי של עלמא דפירודא – השניות בין אובייקט וסובייקט, המסתיימת לבסוף בהתפוררות הסובייקט עצמו. האנתרופוצנטריות מתגלגלת לאגוצנטריות – חטא 'אנא אמלוך' שסופו בשבירת הכלים. זה השורש לתופעות העידן החדש המבטאות רצון לחפש עוגן ושורשים.</w:t>
      </w:r>
    </w:p>
    <w:p w:rsidR="000E2CFC" w:rsidRPr="00DF5A1D" w:rsidRDefault="000E2CFC" w:rsidP="00DF5A1D">
      <w:pPr>
        <w:rPr>
          <w:rFonts w:ascii="FrankRuehl" w:hAnsi="FrankRuehl" w:cs="FrankRuehl"/>
          <w:sz w:val="22"/>
          <w:szCs w:val="22"/>
          <w:rtl/>
        </w:rPr>
      </w:pPr>
      <w:r w:rsidRPr="00DF5A1D">
        <w:rPr>
          <w:rFonts w:ascii="FrankRuehl" w:hAnsi="FrankRuehl" w:cs="FrankRuehl"/>
          <w:sz w:val="22"/>
          <w:szCs w:val="22"/>
          <w:rtl/>
        </w:rPr>
        <w:t xml:space="preserve">מבחינת השלב ההיסטורי של התיקון בו אנו נמצאים, נראה שוודאי יש להיענות לפנייה המזרחית. היא מבטאת את השאיפה למיסטיקה, לאחדות, </w:t>
      </w:r>
      <w:r w:rsidRPr="00DF5A1D">
        <w:rPr>
          <w:rFonts w:ascii="FrankRuehl" w:hAnsi="FrankRuehl" w:cs="FrankRuehl"/>
          <w:b/>
          <w:bCs/>
          <w:sz w:val="22"/>
          <w:szCs w:val="22"/>
          <w:rtl/>
        </w:rPr>
        <w:t>ולדעתי זו משקפת תהליך שבו הקִדמה האנושית תועתק מהתחום הטכנולוגי אל התחום הרוחני. יש כאן חזון משיחי של חזרה להוויית האדם שלפני החטא. בהקשר זה העלאתה של תרבות המזרח יכולה לתרום לנו תרומה של ממש</w:t>
      </w:r>
      <w:r w:rsidRPr="00DF5A1D">
        <w:rPr>
          <w:rFonts w:ascii="FrankRuehl" w:hAnsi="FrankRuehl" w:cs="FrankRuehl"/>
          <w:sz w:val="22"/>
          <w:szCs w:val="22"/>
          <w:rtl/>
        </w:rPr>
        <w:t xml:space="preserve">. </w:t>
      </w:r>
    </w:p>
    <w:p w:rsidR="000E2CFC" w:rsidRPr="00DF5A1D" w:rsidRDefault="000F3B70" w:rsidP="00DF5A1D">
      <w:pPr>
        <w:rPr>
          <w:rFonts w:ascii="FrankRuehl" w:hAnsi="FrankRuehl" w:cs="FrankRuehl"/>
          <w:sz w:val="22"/>
          <w:szCs w:val="22"/>
          <w:rtl/>
        </w:rPr>
      </w:pPr>
      <w:r w:rsidRPr="000F3B70">
        <w:rPr>
          <w:rFonts w:ascii="Miriam" w:hAnsi="Miriam" w:cs="Miriam"/>
          <w:sz w:val="22"/>
          <w:szCs w:val="22"/>
          <w:rtl/>
        </w:rPr>
        <w:t>ג</w:t>
      </w:r>
      <w:r w:rsidRPr="00DF5A1D">
        <w:rPr>
          <w:rFonts w:ascii="FrankRuehl" w:hAnsi="FrankRuehl" w:cs="FrankRuehl"/>
          <w:sz w:val="22"/>
          <w:szCs w:val="22"/>
          <w:rtl/>
        </w:rPr>
        <w:t xml:space="preserve"> </w:t>
      </w:r>
      <w:r w:rsidR="000E2CFC" w:rsidRPr="00DF5A1D">
        <w:rPr>
          <w:rFonts w:ascii="FrankRuehl" w:hAnsi="FrankRuehl" w:cs="FrankRuehl"/>
          <w:sz w:val="22"/>
          <w:szCs w:val="22"/>
          <w:rtl/>
        </w:rPr>
        <w:t>היהדות היא הבית שלי ואינני מחליפו במקום אחר. אינני חייב אפילו לחשוב שהוא הבית הטוב והיפה ביותר בעולם, די לי בכך שהוא חלקי, נחלתי ובריתי. 'כִּי חֵלֶק ה' עַמּוֹ' (דברים ל"ב, ט). זו הנקודה הבסיסית ביותר ביחסנו אל תרבות המזרח, ובעצם גם אל המערב.</w:t>
      </w:r>
      <w:r w:rsidR="003B01A2" w:rsidRPr="00DF5A1D">
        <w:rPr>
          <w:rFonts w:ascii="FrankRuehl" w:hAnsi="FrankRuehl" w:cs="FrankRuehl"/>
          <w:sz w:val="22"/>
          <w:szCs w:val="22"/>
          <w:rtl/>
        </w:rPr>
        <w:t xml:space="preserve"> </w:t>
      </w:r>
      <w:r w:rsidR="000E2CFC" w:rsidRPr="00DF5A1D">
        <w:rPr>
          <w:rFonts w:ascii="FrankRuehl" w:hAnsi="FrankRuehl" w:cs="FrankRuehl"/>
          <w:sz w:val="22"/>
          <w:szCs w:val="22"/>
          <w:rtl/>
        </w:rPr>
        <w:t>מעבר לכך, ישנו הבדל עקרוני בין היהדות לבין תורות הסוד של המזרח – התורה איננה מכוונת רק ליחידי סגולה, לזה שאמנם זוכה להשתחרר ולצאת לחירות מכבלי הסאמסרה, אלא גם ליהודי הפשוט הטרוד בדאגות 'בני, חיי ומזוני'.</w:t>
      </w:r>
    </w:p>
    <w:p w:rsidR="000E2CFC" w:rsidRPr="00DF5A1D" w:rsidRDefault="000E2CFC" w:rsidP="00DF5A1D">
      <w:pPr>
        <w:rPr>
          <w:rFonts w:ascii="FrankRuehl" w:hAnsi="FrankRuehl" w:cs="FrankRuehl"/>
          <w:sz w:val="22"/>
          <w:szCs w:val="22"/>
          <w:rtl/>
        </w:rPr>
      </w:pPr>
      <w:r w:rsidRPr="00DF5A1D">
        <w:rPr>
          <w:rFonts w:ascii="FrankRuehl" w:hAnsi="FrankRuehl" w:cs="FrankRuehl"/>
          <w:sz w:val="22"/>
          <w:szCs w:val="22"/>
          <w:rtl/>
        </w:rPr>
        <w:t xml:space="preserve">אין לי ספק שניתן למצוא קדושה גם במזרח, ולחוות את מה שאנו חווים ושרים עליו 'הדור נאה זיו העולם', ובכל זאת </w:t>
      </w:r>
      <w:r w:rsidRPr="000F3B70">
        <w:rPr>
          <w:rFonts w:ascii="FrankRuehl" w:hAnsi="FrankRuehl" w:cs="FrankRuehl"/>
          <w:b/>
          <w:bCs/>
          <w:sz w:val="22"/>
          <w:szCs w:val="22"/>
          <w:rtl/>
        </w:rPr>
        <w:t xml:space="preserve">יש בשבת מה שאין ולא יכול להיות בסמאדהי: נופך יהודי; שהרי את השבת עשוי לחוש כל יהודי ולו גם הפשוט ביותר, בתנאי שתודעתו ואורח חייו יוכוונו על פי ההלכה, אך הסמאדהי הנו מצב נפשי שמגיעים אליו יחידי סגולה שעשו עבודה נפשית ארוכת שנים. הסיבה לכך היא שמערכת הציוויים ואיסורי </w:t>
      </w:r>
      <w:r w:rsidRPr="000F3B70">
        <w:rPr>
          <w:rFonts w:ascii="FrankRuehl" w:hAnsi="FrankRuehl" w:cs="FrankRuehl"/>
          <w:b/>
          <w:bCs/>
          <w:sz w:val="22"/>
          <w:szCs w:val="22"/>
          <w:rtl/>
        </w:rPr>
        <w:t>השבת שציווה לנו הקב"ה מאפשרים, דווקא בחומרתם ובמוחלטותם, שחרור ואיזון הרמוני שקשה מאוד להשיג מתוך עבודה תודעתית רגילה, אפילו דתית. בנוסף, ביהדות יש לא רק מנוחה – ישנן גם המולה ועשייה, וגם הן מאפיינות את השבת</w:t>
      </w:r>
      <w:r w:rsidRPr="00DF5A1D">
        <w:rPr>
          <w:rFonts w:ascii="FrankRuehl" w:hAnsi="FrankRuehl" w:cs="FrankRuehl"/>
          <w:sz w:val="22"/>
          <w:szCs w:val="22"/>
          <w:rtl/>
        </w:rPr>
        <w:t>.</w:t>
      </w:r>
    </w:p>
    <w:p w:rsidR="000F3B70" w:rsidRPr="00DF5A1D" w:rsidRDefault="000F3B70" w:rsidP="000F3B70">
      <w:pPr>
        <w:rPr>
          <w:rFonts w:ascii="FrankRuehl" w:hAnsi="FrankRuehl" w:cs="FrankRuehl"/>
          <w:sz w:val="22"/>
          <w:szCs w:val="22"/>
        </w:rPr>
      </w:pPr>
      <w:r w:rsidRPr="000F3B70">
        <w:rPr>
          <w:rFonts w:ascii="Miriam" w:hAnsi="Miriam" w:cs="Miriam"/>
          <w:sz w:val="22"/>
          <w:szCs w:val="22"/>
          <w:rtl/>
        </w:rPr>
        <w:t>ד</w:t>
      </w:r>
      <w:r>
        <w:rPr>
          <w:rFonts w:ascii="FrankRuehl" w:hAnsi="FrankRuehl" w:cs="FrankRuehl" w:hint="cs"/>
          <w:sz w:val="22"/>
          <w:szCs w:val="22"/>
          <w:rtl/>
        </w:rPr>
        <w:t xml:space="preserve"> </w:t>
      </w:r>
      <w:r w:rsidR="000E2CFC" w:rsidRPr="00DF5A1D">
        <w:rPr>
          <w:rFonts w:ascii="FrankRuehl" w:hAnsi="FrankRuehl" w:cs="FrankRuehl"/>
          <w:sz w:val="22"/>
          <w:szCs w:val="22"/>
          <w:rtl/>
        </w:rPr>
        <w:t xml:space="preserve">כל דיון ביחסנו לתרבות החיצונית חוזר כיום למאבקים בתוך הציונות הדתית בין פתיחות וסגירות. ברצוני להזהיר מפני שתי מגמות מסוכנות – מצד אחד פתיחות רדודה המוותרת על הברית, ומצד שני סגירות המתעלמת מהצורך שלנו בתרבות החיצונית למען העולם הדתי שלנו. </w:t>
      </w:r>
    </w:p>
    <w:p w:rsidR="000E2CFC" w:rsidRPr="00DF5A1D" w:rsidRDefault="000E2CFC" w:rsidP="00DF5A1D">
      <w:pPr>
        <w:rPr>
          <w:rFonts w:ascii="FrankRuehl" w:hAnsi="FrankRuehl" w:cs="FrankRuehl"/>
          <w:b/>
          <w:bCs/>
          <w:sz w:val="22"/>
          <w:szCs w:val="22"/>
          <w:rtl/>
        </w:rPr>
      </w:pPr>
      <w:r w:rsidRPr="00DF5A1D">
        <w:rPr>
          <w:rFonts w:ascii="FrankRuehl" w:hAnsi="FrankRuehl" w:cs="FrankRuehl"/>
          <w:sz w:val="22"/>
          <w:szCs w:val="22"/>
          <w:rtl/>
        </w:rPr>
        <w:t xml:space="preserve">התרבות החיצונית אינה יכולה להפרות את עולמנו היהודי ללא מסירות שלנו לברית, ללא מודעות מצִדנו לשוני. ברור שמושגי הקדושה והמצווה של התורה אינם עולים בקנה אחד עם אלה של המזרח. נדרש כאן תהליך של בירור עדין, הלוקח את המערביות והמזרחיות ומלביש אותן בלבושים יהודיים. וכאמור, לבושים אלה אינם פרט שולי בתמונה, אלא לב העניין. אין מדובר כאן רק בהתאמה להוויה הרוחנית היהודית ולפרטי ההלכה, אלא לעצם הרעיון של לבושים וקונקרטיות המאפיין את היהדות. </w:t>
      </w:r>
      <w:r w:rsidRPr="00DF5A1D">
        <w:rPr>
          <w:rFonts w:ascii="FrankRuehl" w:hAnsi="FrankRuehl" w:cs="FrankRuehl"/>
          <w:b/>
          <w:bCs/>
          <w:sz w:val="22"/>
          <w:szCs w:val="22"/>
          <w:rtl/>
        </w:rPr>
        <w:t xml:space="preserve">תנאי בסיסי לכך הוא הקדשת השנים הראשונות של הלימוד דווקא לקודש והתרחקות מהתוכן והכלים המערביים, כמקובל בחינוך החרדי. עם זאת חשוב שהחינוך לא ייצור הסתגרות וסלידה מהעולם המערבי גם בשלב זה, שכן אלה ימנעו מאוחר יותר את השלב הבא, שלב האימוץ הביקורתי. </w:t>
      </w:r>
    </w:p>
    <w:p w:rsidR="000E2CFC" w:rsidRPr="00DF5A1D" w:rsidRDefault="000E2CFC" w:rsidP="000F3B70">
      <w:pPr>
        <w:rPr>
          <w:rFonts w:ascii="FrankRuehl" w:hAnsi="FrankRuehl" w:cs="FrankRuehl"/>
          <w:sz w:val="22"/>
          <w:szCs w:val="22"/>
          <w:rtl/>
        </w:rPr>
      </w:pPr>
      <w:r w:rsidRPr="00DF5A1D">
        <w:rPr>
          <w:rFonts w:ascii="FrankRuehl" w:hAnsi="FrankRuehl" w:cs="FrankRuehl"/>
          <w:sz w:val="22"/>
          <w:szCs w:val="22"/>
          <w:rtl/>
        </w:rPr>
        <w:t>עם זאת, איננו יכולים להתעלם מהתרומה האפשרית של המערב והמזרח לעולמנו הדתי. לגבי המזרח – מתודות הלימוד של טכניקות רוחניות. לעתים הציבור שלנו, החי בעולם של חול, יוכל להיכנס פנימה דווקא באמצעות הכלים ושפת העבודה הרוחנית מן המזרח. כלים אלה עשויים לפתוח בפניו שער לרוחניות וליצור כלים להצדקת החוויה הרוחנית שלו, ומכאן יוכל הוא להיפתח כלפי הברית של עם ישראל, שהרי לעתים דווקא כדי להבין את שפת הבית עלינו להזדקק לכלים מן החוץ.</w:t>
      </w:r>
    </w:p>
    <w:p w:rsidR="00E30E88" w:rsidRPr="00DF5A1D" w:rsidRDefault="000E2CFC" w:rsidP="00B37469">
      <w:pPr>
        <w:rPr>
          <w:rFonts w:ascii="FrankRuehl" w:hAnsi="FrankRuehl" w:cs="FrankRuehl"/>
          <w:sz w:val="22"/>
          <w:szCs w:val="22"/>
        </w:rPr>
      </w:pPr>
      <w:r w:rsidRPr="000F3B70">
        <w:rPr>
          <w:rFonts w:ascii="FrankRuehl" w:hAnsi="FrankRuehl" w:cs="FrankRuehl"/>
          <w:b/>
          <w:bCs/>
          <w:sz w:val="22"/>
          <w:szCs w:val="22"/>
          <w:rtl/>
        </w:rPr>
        <w:t>עלינו להתאמץ ככל יכולתנו ולאחוז במידת הצדיקים היונקים מזיהרא דאדם הראשון, האור האוניברסלי, ועם זאת, לא לטשטש את הגבולות. אדרבה, דווקא המאמץ הדיאלקטי הזה הוא שיביא להעלאת האמונה</w:t>
      </w:r>
      <w:r w:rsidRPr="00DF5A1D">
        <w:rPr>
          <w:rFonts w:ascii="FrankRuehl" w:hAnsi="FrankRuehl" w:cs="FrankRuehl"/>
          <w:sz w:val="22"/>
          <w:szCs w:val="22"/>
          <w:rtl/>
        </w:rPr>
        <w:t>. היכולת לשלב את הנטיות המנוגדות, את הנאמנות הטוטלית לברית ואת הפתיחות לטוב שבמערב ובמזרח, היא לפי הראי"ה תורתו של משיח</w:t>
      </w:r>
      <w:r w:rsidR="000F3B70">
        <w:rPr>
          <w:rFonts w:ascii="FrankRuehl" w:hAnsi="FrankRuehl" w:cs="FrankRuehl" w:hint="cs"/>
          <w:sz w:val="22"/>
          <w:szCs w:val="22"/>
          <w:rtl/>
        </w:rPr>
        <w:t>.</w:t>
      </w:r>
      <w:bookmarkStart w:id="1" w:name="_GoBack"/>
      <w:bookmarkEnd w:id="1"/>
    </w:p>
    <w:sectPr w:rsidR="00E30E88" w:rsidRPr="00DF5A1D" w:rsidSect="00DF5A1D">
      <w:footerReference w:type="default" r:id="rId7"/>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6DB6" w:rsidRDefault="00FD6DB6" w:rsidP="000E2CFC">
      <w:pPr>
        <w:spacing w:after="0" w:line="240" w:lineRule="auto"/>
      </w:pPr>
      <w:r>
        <w:separator/>
      </w:r>
    </w:p>
  </w:endnote>
  <w:endnote w:type="continuationSeparator" w:id="0">
    <w:p w:rsidR="00FD6DB6" w:rsidRDefault="00FD6DB6" w:rsidP="000E2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altName w:val="Times New Roman"/>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Miriam">
    <w:altName w:val="Lucida Sans Unicode"/>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676350975"/>
      <w:docPartObj>
        <w:docPartGallery w:val="Page Numbers (Bottom of Page)"/>
        <w:docPartUnique/>
      </w:docPartObj>
    </w:sdtPr>
    <w:sdtEndPr>
      <w:rPr>
        <w:cs/>
      </w:rPr>
    </w:sdtEndPr>
    <w:sdtContent>
      <w:p w:rsidR="000F3B70" w:rsidRDefault="000F3B70">
        <w:pPr>
          <w:pStyle w:val="ac"/>
          <w:jc w:val="right"/>
          <w:rPr>
            <w:cs/>
          </w:rPr>
        </w:pPr>
        <w:r>
          <w:fldChar w:fldCharType="begin"/>
        </w:r>
        <w:r>
          <w:rPr>
            <w:cs/>
          </w:rPr>
          <w:instrText>PAGE   \* MERGEFORMAT</w:instrText>
        </w:r>
        <w:r>
          <w:fldChar w:fldCharType="separate"/>
        </w:r>
        <w:r w:rsidR="00B37469" w:rsidRPr="00B37469">
          <w:rPr>
            <w:noProof/>
            <w:rtl/>
            <w:lang w:val="he-IL"/>
          </w:rPr>
          <w:t>2</w:t>
        </w:r>
        <w:r>
          <w:fldChar w:fldCharType="end"/>
        </w:r>
      </w:p>
    </w:sdtContent>
  </w:sdt>
  <w:p w:rsidR="000F3B70" w:rsidRDefault="000F3B7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6DB6" w:rsidRDefault="00FD6DB6" w:rsidP="000E2CFC">
      <w:pPr>
        <w:spacing w:after="0" w:line="240" w:lineRule="auto"/>
      </w:pPr>
      <w:r>
        <w:separator/>
      </w:r>
    </w:p>
  </w:footnote>
  <w:footnote w:type="continuationSeparator" w:id="0">
    <w:p w:rsidR="00FD6DB6" w:rsidRDefault="00FD6DB6" w:rsidP="000E2C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8550C"/>
    <w:multiLevelType w:val="hybridMultilevel"/>
    <w:tmpl w:val="1A6E78AC"/>
    <w:lvl w:ilvl="0" w:tplc="ACE2F5B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CFC"/>
    <w:rsid w:val="000E2CFC"/>
    <w:rsid w:val="000F3B70"/>
    <w:rsid w:val="003B01A2"/>
    <w:rsid w:val="00B37469"/>
    <w:rsid w:val="00B812E3"/>
    <w:rsid w:val="00DF5A1D"/>
    <w:rsid w:val="00E30E88"/>
    <w:rsid w:val="00ED419A"/>
    <w:rsid w:val="00FD6D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A9E3A"/>
  <w15:chartTrackingRefBased/>
  <w15:docId w15:val="{AC583062-D97D-4A75-B4D5-765E1BE51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0E2CFC"/>
    <w:pPr>
      <w:bidi/>
      <w:spacing w:after="200" w:line="360" w:lineRule="auto"/>
      <w:jc w:val="both"/>
    </w:pPr>
    <w:rPr>
      <w:rFonts w:ascii="Calibri" w:eastAsia="Times New Roman" w:hAnsi="Calibri" w:cs="David"/>
      <w:sz w:val="24"/>
      <w:szCs w:val="24"/>
    </w:rPr>
  </w:style>
  <w:style w:type="paragraph" w:styleId="1">
    <w:name w:val="heading 1"/>
    <w:basedOn w:val="a"/>
    <w:next w:val="a"/>
    <w:link w:val="10"/>
    <w:uiPriority w:val="99"/>
    <w:qFormat/>
    <w:rsid w:val="000E2CFC"/>
    <w:pPr>
      <w:keepNext/>
      <w:spacing w:after="0" w:line="240" w:lineRule="auto"/>
      <w:jc w:val="center"/>
      <w:outlineLvl w:val="0"/>
    </w:pPr>
    <w:rPr>
      <w:rFonts w:ascii="Arial Narrow" w:hAnsi="Arial Narrow" w:cs="Times New Roman"/>
      <w:b/>
      <w:bCs/>
      <w:sz w:val="32"/>
      <w:szCs w:val="32"/>
      <w:lang w:val="x-none" w:eastAsia="x-none"/>
    </w:rPr>
  </w:style>
  <w:style w:type="paragraph" w:styleId="2">
    <w:name w:val="heading 2"/>
    <w:basedOn w:val="a"/>
    <w:next w:val="a"/>
    <w:link w:val="20"/>
    <w:uiPriority w:val="99"/>
    <w:qFormat/>
    <w:rsid w:val="000E2CFC"/>
    <w:pPr>
      <w:keepNext/>
      <w:spacing w:before="240" w:after="60"/>
      <w:outlineLvl w:val="1"/>
    </w:pPr>
    <w:rPr>
      <w:rFonts w:ascii="Arial" w:hAnsi="Arial"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9"/>
    <w:rsid w:val="000E2CFC"/>
    <w:rPr>
      <w:rFonts w:ascii="Arial Narrow" w:eastAsia="Times New Roman" w:hAnsi="Arial Narrow" w:cs="Times New Roman"/>
      <w:b/>
      <w:bCs/>
      <w:sz w:val="32"/>
      <w:szCs w:val="32"/>
      <w:lang w:val="x-none" w:eastAsia="x-none"/>
    </w:rPr>
  </w:style>
  <w:style w:type="character" w:customStyle="1" w:styleId="20">
    <w:name w:val="כותרת 2 תו"/>
    <w:basedOn w:val="a0"/>
    <w:link w:val="2"/>
    <w:uiPriority w:val="99"/>
    <w:rsid w:val="000E2CFC"/>
    <w:rPr>
      <w:rFonts w:ascii="Arial" w:eastAsia="Times New Roman" w:hAnsi="Arial" w:cs="Times New Roman"/>
      <w:b/>
      <w:bCs/>
      <w:i/>
      <w:iCs/>
      <w:sz w:val="28"/>
      <w:szCs w:val="28"/>
      <w:lang w:val="x-none" w:eastAsia="x-none"/>
    </w:rPr>
  </w:style>
  <w:style w:type="paragraph" w:styleId="a3">
    <w:name w:val="footnote text"/>
    <w:basedOn w:val="a"/>
    <w:link w:val="a4"/>
    <w:uiPriority w:val="99"/>
    <w:qFormat/>
    <w:rsid w:val="000E2CFC"/>
    <w:pPr>
      <w:spacing w:after="0" w:line="240" w:lineRule="auto"/>
    </w:pPr>
    <w:rPr>
      <w:rFonts w:cs="Times New Roman"/>
      <w:sz w:val="20"/>
      <w:szCs w:val="20"/>
      <w:lang w:val="x-none" w:eastAsia="x-none"/>
    </w:rPr>
  </w:style>
  <w:style w:type="character" w:customStyle="1" w:styleId="a4">
    <w:name w:val="טקסט הערת שוליים תו"/>
    <w:basedOn w:val="a0"/>
    <w:link w:val="a3"/>
    <w:uiPriority w:val="99"/>
    <w:rsid w:val="000E2CFC"/>
    <w:rPr>
      <w:rFonts w:ascii="Calibri" w:eastAsia="Times New Roman" w:hAnsi="Calibri" w:cs="Times New Roman"/>
      <w:sz w:val="20"/>
      <w:szCs w:val="20"/>
      <w:lang w:val="x-none" w:eastAsia="x-none"/>
    </w:rPr>
  </w:style>
  <w:style w:type="character" w:styleId="a5">
    <w:name w:val="footnote reference"/>
    <w:uiPriority w:val="99"/>
    <w:rsid w:val="000E2CFC"/>
    <w:rPr>
      <w:rFonts w:cs="Times New Roman"/>
      <w:vertAlign w:val="superscript"/>
    </w:rPr>
  </w:style>
  <w:style w:type="paragraph" w:styleId="a6">
    <w:name w:val="Quote"/>
    <w:basedOn w:val="a7"/>
    <w:link w:val="a8"/>
    <w:uiPriority w:val="99"/>
    <w:qFormat/>
    <w:rsid w:val="000E2CFC"/>
    <w:pPr>
      <w:spacing w:before="120"/>
      <w:ind w:left="720"/>
    </w:pPr>
    <w:rPr>
      <w:rFonts w:eastAsia="Calibri"/>
      <w:lang w:val="x-none" w:eastAsia="x-none"/>
    </w:rPr>
  </w:style>
  <w:style w:type="character" w:customStyle="1" w:styleId="a8">
    <w:name w:val="ציטוט תו"/>
    <w:basedOn w:val="a0"/>
    <w:link w:val="a6"/>
    <w:uiPriority w:val="99"/>
    <w:rsid w:val="000E2CFC"/>
    <w:rPr>
      <w:rFonts w:ascii="Calibri" w:eastAsia="Calibri" w:hAnsi="Calibri" w:cs="David"/>
      <w:sz w:val="24"/>
      <w:szCs w:val="24"/>
      <w:lang w:val="x-none" w:eastAsia="x-none"/>
    </w:rPr>
  </w:style>
  <w:style w:type="paragraph" w:customStyle="1" w:styleId="citation">
    <w:name w:val="citation"/>
    <w:basedOn w:val="a"/>
    <w:link w:val="citation0"/>
    <w:uiPriority w:val="99"/>
    <w:rsid w:val="000E2CFC"/>
    <w:pPr>
      <w:bidi w:val="0"/>
      <w:spacing w:before="120" w:after="120"/>
      <w:ind w:left="720"/>
    </w:pPr>
    <w:rPr>
      <w:rFonts w:ascii="Times New Roman" w:hAnsi="Times New Roman" w:cs="Times New Roman"/>
      <w:sz w:val="22"/>
      <w:lang w:val="x-none" w:eastAsia="x-none"/>
    </w:rPr>
  </w:style>
  <w:style w:type="character" w:customStyle="1" w:styleId="citation0">
    <w:name w:val="citation תו"/>
    <w:link w:val="citation"/>
    <w:uiPriority w:val="99"/>
    <w:locked/>
    <w:rsid w:val="000E2CFC"/>
    <w:rPr>
      <w:rFonts w:ascii="Times New Roman" w:eastAsia="Times New Roman" w:hAnsi="Times New Roman" w:cs="Times New Roman"/>
      <w:szCs w:val="24"/>
      <w:lang w:val="x-none" w:eastAsia="x-none"/>
    </w:rPr>
  </w:style>
  <w:style w:type="paragraph" w:styleId="a7">
    <w:name w:val="Body Text"/>
    <w:basedOn w:val="a"/>
    <w:link w:val="a9"/>
    <w:uiPriority w:val="99"/>
    <w:semiHidden/>
    <w:unhideWhenUsed/>
    <w:rsid w:val="000E2CFC"/>
    <w:pPr>
      <w:spacing w:after="120"/>
    </w:pPr>
  </w:style>
  <w:style w:type="character" w:customStyle="1" w:styleId="a9">
    <w:name w:val="גוף טקסט תו"/>
    <w:basedOn w:val="a0"/>
    <w:link w:val="a7"/>
    <w:uiPriority w:val="99"/>
    <w:semiHidden/>
    <w:rsid w:val="000E2CFC"/>
    <w:rPr>
      <w:rFonts w:ascii="Calibri" w:eastAsia="Times New Roman" w:hAnsi="Calibri" w:cs="David"/>
      <w:sz w:val="24"/>
      <w:szCs w:val="24"/>
    </w:rPr>
  </w:style>
  <w:style w:type="paragraph" w:styleId="aa">
    <w:name w:val="header"/>
    <w:basedOn w:val="a"/>
    <w:link w:val="ab"/>
    <w:uiPriority w:val="99"/>
    <w:unhideWhenUsed/>
    <w:rsid w:val="000F3B70"/>
    <w:pPr>
      <w:tabs>
        <w:tab w:val="center" w:pos="4153"/>
        <w:tab w:val="right" w:pos="8306"/>
      </w:tabs>
      <w:spacing w:after="0" w:line="240" w:lineRule="auto"/>
    </w:pPr>
  </w:style>
  <w:style w:type="character" w:customStyle="1" w:styleId="ab">
    <w:name w:val="כותרת עליונה תו"/>
    <w:basedOn w:val="a0"/>
    <w:link w:val="aa"/>
    <w:uiPriority w:val="99"/>
    <w:rsid w:val="000F3B70"/>
    <w:rPr>
      <w:rFonts w:ascii="Calibri" w:eastAsia="Times New Roman" w:hAnsi="Calibri" w:cs="David"/>
      <w:sz w:val="24"/>
      <w:szCs w:val="24"/>
    </w:rPr>
  </w:style>
  <w:style w:type="paragraph" w:styleId="ac">
    <w:name w:val="footer"/>
    <w:basedOn w:val="a"/>
    <w:link w:val="ad"/>
    <w:uiPriority w:val="99"/>
    <w:unhideWhenUsed/>
    <w:rsid w:val="000F3B70"/>
    <w:pPr>
      <w:tabs>
        <w:tab w:val="center" w:pos="4153"/>
        <w:tab w:val="right" w:pos="8306"/>
      </w:tabs>
      <w:spacing w:after="0" w:line="240" w:lineRule="auto"/>
    </w:pPr>
  </w:style>
  <w:style w:type="character" w:customStyle="1" w:styleId="ad">
    <w:name w:val="כותרת תחתונה תו"/>
    <w:basedOn w:val="a0"/>
    <w:link w:val="ac"/>
    <w:uiPriority w:val="99"/>
    <w:rsid w:val="000F3B70"/>
    <w:rPr>
      <w:rFonts w:ascii="Calibri" w:eastAsia="Times New Roman" w:hAnsi="Calibri"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1211</Words>
  <Characters>6057</Characters>
  <Application>Microsoft Office Word</Application>
  <DocSecurity>0</DocSecurity>
  <Lines>50</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2</cp:revision>
  <dcterms:created xsi:type="dcterms:W3CDTF">2016-06-28T18:35:00Z</dcterms:created>
  <dcterms:modified xsi:type="dcterms:W3CDTF">2016-06-28T19:17:00Z</dcterms:modified>
</cp:coreProperties>
</file>