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679D" w:rsidRPr="0051679D" w:rsidRDefault="0051679D" w:rsidP="0051679D">
      <w:pPr>
        <w:spacing w:line="360" w:lineRule="auto"/>
        <w:jc w:val="both"/>
        <w:rPr>
          <w:sz w:val="16"/>
          <w:szCs w:val="16"/>
          <w:rtl/>
        </w:rPr>
      </w:pPr>
      <w:bookmarkStart w:id="0" w:name="_GoBack"/>
      <w:bookmarkEnd w:id="0"/>
      <w:proofErr w:type="spellStart"/>
      <w:r w:rsidRPr="0051679D">
        <w:rPr>
          <w:rFonts w:hint="cs"/>
          <w:sz w:val="16"/>
          <w:szCs w:val="16"/>
          <w:rtl/>
        </w:rPr>
        <w:t>לק"י</w:t>
      </w:r>
      <w:proofErr w:type="spellEnd"/>
      <w:r w:rsidRPr="0051679D">
        <w:rPr>
          <w:rFonts w:hint="cs"/>
          <w:sz w:val="16"/>
          <w:szCs w:val="16"/>
          <w:rtl/>
        </w:rPr>
        <w:t xml:space="preserve"> תשרי תשע"ז</w:t>
      </w:r>
    </w:p>
    <w:p w:rsidR="0051679D" w:rsidRPr="0051679D" w:rsidRDefault="0051679D" w:rsidP="0051679D">
      <w:pPr>
        <w:spacing w:line="360" w:lineRule="auto"/>
        <w:jc w:val="both"/>
        <w:rPr>
          <w:b/>
          <w:bCs/>
          <w:u w:val="single"/>
          <w:rtl/>
        </w:rPr>
      </w:pPr>
      <w:r w:rsidRPr="0051679D">
        <w:rPr>
          <w:rFonts w:hint="cs"/>
          <w:b/>
          <w:bCs/>
          <w:u w:val="single"/>
          <w:rtl/>
        </w:rPr>
        <w:t xml:space="preserve">תשובת </w:t>
      </w:r>
      <w:proofErr w:type="spellStart"/>
      <w:r>
        <w:rPr>
          <w:rFonts w:hint="cs"/>
          <w:b/>
          <w:bCs/>
          <w:u w:val="single"/>
          <w:rtl/>
        </w:rPr>
        <w:t>נינו</w:t>
      </w:r>
      <w:r w:rsidRPr="0051679D">
        <w:rPr>
          <w:rFonts w:hint="cs"/>
          <w:b/>
          <w:bCs/>
          <w:u w:val="single"/>
          <w:rtl/>
        </w:rPr>
        <w:t>ה</w:t>
      </w:r>
      <w:proofErr w:type="spellEnd"/>
      <w:r w:rsidRPr="0051679D">
        <w:rPr>
          <w:rFonts w:hint="cs"/>
          <w:b/>
          <w:bCs/>
          <w:u w:val="single"/>
          <w:rtl/>
        </w:rPr>
        <w:t xml:space="preserve"> וחוצפה כלפי שמיא</w:t>
      </w:r>
    </w:p>
    <w:p w:rsidR="00D77E4B" w:rsidRPr="000C2229" w:rsidRDefault="00D77E4B" w:rsidP="000C2229">
      <w:pPr>
        <w:spacing w:line="360" w:lineRule="auto"/>
        <w:jc w:val="both"/>
        <w:rPr>
          <w:rtl/>
        </w:rPr>
      </w:pPr>
      <w:r w:rsidRPr="00D77E4B">
        <w:rPr>
          <w:b/>
          <w:bCs/>
          <w:rtl/>
        </w:rPr>
        <w:t>שולחן ערוך אורח חיים הלכות יום הכפורים סימן תרה</w:t>
      </w:r>
      <w:r>
        <w:rPr>
          <w:rFonts w:hint="cs"/>
          <w:b/>
          <w:bCs/>
          <w:rtl/>
        </w:rPr>
        <w:t>:</w:t>
      </w:r>
      <w:r w:rsidRPr="00D77E4B">
        <w:rPr>
          <w:b/>
          <w:bCs/>
          <w:rtl/>
        </w:rPr>
        <w:t xml:space="preserve"> </w:t>
      </w:r>
      <w:r w:rsidRPr="005A59DB">
        <w:rPr>
          <w:rtl/>
        </w:rPr>
        <w:t>מה שנוהגים לעשות כפרה בערב יום כיפורים לשחוט תרנגול על כל בן זכר ולומר עליו פסוקים, יש למנוע המנהג</w:t>
      </w:r>
      <w:r w:rsidR="005A59DB" w:rsidRPr="005A59DB">
        <w:rPr>
          <w:rFonts w:hint="cs"/>
          <w:rtl/>
        </w:rPr>
        <w:t xml:space="preserve"> [</w:t>
      </w:r>
      <w:proofErr w:type="spellStart"/>
      <w:r w:rsidR="005A59DB" w:rsidRPr="000C2229">
        <w:rPr>
          <w:rFonts w:hint="cs"/>
          <w:b/>
          <w:bCs/>
          <w:rtl/>
        </w:rPr>
        <w:t>משנ"ב</w:t>
      </w:r>
      <w:proofErr w:type="spellEnd"/>
      <w:r w:rsidR="005A59DB" w:rsidRPr="005A59DB">
        <w:rPr>
          <w:rFonts w:hint="cs"/>
          <w:rtl/>
        </w:rPr>
        <w:t>: משום חשש דרכי האמורי]</w:t>
      </w:r>
      <w:r w:rsidRPr="005A59DB">
        <w:rPr>
          <w:rtl/>
        </w:rPr>
        <w:t xml:space="preserve">. הגה: ויש מהגאונים שכתבו מנהג זה, וכן כתבו אותו רבים מן האחרונים, וכן </w:t>
      </w:r>
      <w:proofErr w:type="spellStart"/>
      <w:r w:rsidRPr="005A59DB">
        <w:rPr>
          <w:rtl/>
        </w:rPr>
        <w:t>נוהגין</w:t>
      </w:r>
      <w:proofErr w:type="spellEnd"/>
      <w:r w:rsidRPr="005A59DB">
        <w:rPr>
          <w:rtl/>
        </w:rPr>
        <w:t xml:space="preserve"> בכל מדינות אלו </w:t>
      </w:r>
      <w:r w:rsidRPr="005A59DB">
        <w:rPr>
          <w:rtl/>
        </w:rPr>
        <w:t xml:space="preserve">ואין לשנות, כי הוא מנהג </w:t>
      </w:r>
      <w:proofErr w:type="spellStart"/>
      <w:r w:rsidRPr="005A59DB">
        <w:rPr>
          <w:rtl/>
        </w:rPr>
        <w:t>ותיקין</w:t>
      </w:r>
      <w:proofErr w:type="spellEnd"/>
      <w:r w:rsidRPr="005A59DB">
        <w:rPr>
          <w:rtl/>
        </w:rPr>
        <w:t>.</w:t>
      </w:r>
      <w:r w:rsidRPr="005A59DB">
        <w:rPr>
          <w:rFonts w:hint="cs"/>
          <w:rtl/>
        </w:rPr>
        <w:t xml:space="preserve">.. </w:t>
      </w:r>
      <w:proofErr w:type="spellStart"/>
      <w:r w:rsidRPr="005A59DB">
        <w:rPr>
          <w:rtl/>
        </w:rPr>
        <w:t>וזורקין</w:t>
      </w:r>
      <w:proofErr w:type="spellEnd"/>
      <w:r w:rsidRPr="005A59DB">
        <w:rPr>
          <w:rtl/>
        </w:rPr>
        <w:t xml:space="preserve"> בני מעיהם על הגגות או בחצר, מקום שהעופות </w:t>
      </w:r>
      <w:proofErr w:type="spellStart"/>
      <w:r w:rsidRPr="005A59DB">
        <w:rPr>
          <w:rtl/>
        </w:rPr>
        <w:t>יכולין</w:t>
      </w:r>
      <w:proofErr w:type="spellEnd"/>
      <w:r w:rsidRPr="005A59DB">
        <w:rPr>
          <w:rtl/>
        </w:rPr>
        <w:t xml:space="preserve"> לקחת משם (טור).</w:t>
      </w:r>
      <w:r w:rsidR="000C2229">
        <w:rPr>
          <w:rFonts w:hint="cs"/>
          <w:b/>
          <w:bCs/>
          <w:rtl/>
        </w:rPr>
        <w:t xml:space="preserve"> [</w:t>
      </w:r>
      <w:proofErr w:type="spellStart"/>
      <w:r w:rsidR="000C2229">
        <w:rPr>
          <w:rFonts w:hint="cs"/>
          <w:b/>
          <w:bCs/>
          <w:rtl/>
        </w:rPr>
        <w:t>משנ"ב</w:t>
      </w:r>
      <w:proofErr w:type="spellEnd"/>
      <w:r w:rsidR="000C2229">
        <w:rPr>
          <w:rFonts w:hint="cs"/>
          <w:b/>
          <w:bCs/>
          <w:rtl/>
        </w:rPr>
        <w:t xml:space="preserve">: </w:t>
      </w:r>
      <w:r w:rsidR="000C2229" w:rsidRPr="000C2229">
        <w:rPr>
          <w:rtl/>
        </w:rPr>
        <w:t>משנה ברורה סימן תרה</w:t>
      </w:r>
      <w:r w:rsidR="000C2229" w:rsidRPr="000C2229">
        <w:rPr>
          <w:rFonts w:hint="cs"/>
          <w:rtl/>
        </w:rPr>
        <w:t xml:space="preserve">: </w:t>
      </w:r>
      <w:r w:rsidR="000C2229" w:rsidRPr="000C2229">
        <w:rPr>
          <w:rtl/>
        </w:rPr>
        <w:t xml:space="preserve">שדרך התרנגולים </w:t>
      </w:r>
      <w:proofErr w:type="spellStart"/>
      <w:r w:rsidR="000C2229" w:rsidRPr="000C2229">
        <w:rPr>
          <w:rtl/>
        </w:rPr>
        <w:t>ליזון</w:t>
      </w:r>
      <w:proofErr w:type="spellEnd"/>
      <w:r w:rsidR="000C2229" w:rsidRPr="000C2229">
        <w:rPr>
          <w:rtl/>
        </w:rPr>
        <w:t xml:space="preserve"> מן הגזל ובני המעיים הם הכלים הראשונים שמקבלים הגזל לכן </w:t>
      </w:r>
      <w:proofErr w:type="spellStart"/>
      <w:r w:rsidR="000C2229" w:rsidRPr="000C2229">
        <w:rPr>
          <w:rtl/>
        </w:rPr>
        <w:t>מרחיקין</w:t>
      </w:r>
      <w:proofErr w:type="spellEnd"/>
      <w:r w:rsidR="000C2229" w:rsidRPr="000C2229">
        <w:rPr>
          <w:rtl/>
        </w:rPr>
        <w:t xml:space="preserve"> עצמם </w:t>
      </w:r>
      <w:proofErr w:type="spellStart"/>
      <w:r w:rsidR="000C2229" w:rsidRPr="000C2229">
        <w:rPr>
          <w:rtl/>
        </w:rPr>
        <w:t>מלאכלם</w:t>
      </w:r>
      <w:proofErr w:type="spellEnd"/>
      <w:r w:rsidR="000C2229" w:rsidRPr="000C2229">
        <w:rPr>
          <w:rtl/>
        </w:rPr>
        <w:t xml:space="preserve"> כדי </w:t>
      </w:r>
      <w:proofErr w:type="spellStart"/>
      <w:r w:rsidR="000C2229" w:rsidRPr="000C2229">
        <w:rPr>
          <w:rtl/>
        </w:rPr>
        <w:t>ליתן</w:t>
      </w:r>
      <w:proofErr w:type="spellEnd"/>
      <w:r w:rsidR="000C2229" w:rsidRPr="000C2229">
        <w:rPr>
          <w:rtl/>
        </w:rPr>
        <w:t xml:space="preserve"> אל לבו להרחיק מן הגזל וגם משום רחמניות כשם שמרחם על הבריות לפרנסן ירחמו עליו מן השמים</w:t>
      </w:r>
      <w:r w:rsidR="000C2229" w:rsidRPr="000C2229">
        <w:rPr>
          <w:rFonts w:hint="cs"/>
          <w:rtl/>
        </w:rPr>
        <w:t>]</w:t>
      </w:r>
      <w:r w:rsidR="000C2229" w:rsidRPr="000C2229">
        <w:rPr>
          <w:rtl/>
        </w:rPr>
        <w:t>:</w:t>
      </w:r>
    </w:p>
    <w:p w:rsidR="00FE148D" w:rsidRDefault="0040475C" w:rsidP="0051679D">
      <w:pPr>
        <w:spacing w:line="360" w:lineRule="auto"/>
        <w:jc w:val="both"/>
        <w:rPr>
          <w:rtl/>
        </w:rPr>
      </w:pPr>
      <w:r w:rsidRPr="0040475C">
        <w:rPr>
          <w:rFonts w:hint="cs"/>
          <w:b/>
          <w:bCs/>
          <w:rtl/>
        </w:rPr>
        <w:t>יונה ג, ד-י</w:t>
      </w:r>
      <w:r>
        <w:rPr>
          <w:rFonts w:hint="cs"/>
          <w:rtl/>
        </w:rPr>
        <w:t xml:space="preserve">: </w:t>
      </w:r>
      <w:r w:rsidRPr="003147C5">
        <w:rPr>
          <w:rtl/>
        </w:rPr>
        <w:t xml:space="preserve">וַיָחֶל יוֹנָה לָבוֹא בָעִיר מַהֲלַךְ יוֹם אֶחָד וַיִּקְרָא וַיֹּאמַר עוֹד אַרְבָּעִים יוֹם </w:t>
      </w:r>
      <w:proofErr w:type="spellStart"/>
      <w:r w:rsidRPr="003147C5">
        <w:rPr>
          <w:rtl/>
        </w:rPr>
        <w:t>וְנִינְוֵה</w:t>
      </w:r>
      <w:proofErr w:type="spellEnd"/>
      <w:r w:rsidRPr="003147C5">
        <w:rPr>
          <w:rtl/>
        </w:rPr>
        <w:t xml:space="preserve"> נֶהְפָּכֶת:</w:t>
      </w:r>
      <w:r>
        <w:rPr>
          <w:rFonts w:hint="cs"/>
          <w:rtl/>
        </w:rPr>
        <w:t xml:space="preserve"> </w:t>
      </w:r>
      <w:r w:rsidRPr="003F4B00">
        <w:rPr>
          <w:rtl/>
        </w:rPr>
        <w:t xml:space="preserve">וַיַּאֲמִינוּ אַנְשֵי </w:t>
      </w:r>
      <w:proofErr w:type="spellStart"/>
      <w:r w:rsidRPr="003F4B00">
        <w:rPr>
          <w:rtl/>
        </w:rPr>
        <w:t>נִינְוֵה</w:t>
      </w:r>
      <w:proofErr w:type="spellEnd"/>
      <w:r w:rsidRPr="003F4B00">
        <w:rPr>
          <w:rtl/>
        </w:rPr>
        <w:t xml:space="preserve"> בֵּא-לֹהִים וַיִּקְרְאוּ צוֹם וַיִלְבְּשוּ שַקִּים </w:t>
      </w:r>
      <w:proofErr w:type="spellStart"/>
      <w:r w:rsidRPr="003F4B00">
        <w:rPr>
          <w:rtl/>
        </w:rPr>
        <w:t>מִגְּדוֹלָם</w:t>
      </w:r>
      <w:proofErr w:type="spellEnd"/>
      <w:r w:rsidRPr="003F4B00">
        <w:rPr>
          <w:rtl/>
        </w:rPr>
        <w:t xml:space="preserve"> וְעַד </w:t>
      </w:r>
      <w:proofErr w:type="spellStart"/>
      <w:r w:rsidRPr="003F4B00">
        <w:rPr>
          <w:rtl/>
        </w:rPr>
        <w:t>קְטַנָּם</w:t>
      </w:r>
      <w:proofErr w:type="spellEnd"/>
      <w:r w:rsidRPr="003F4B00">
        <w:rPr>
          <w:rtl/>
        </w:rPr>
        <w:t>:</w:t>
      </w:r>
      <w:r>
        <w:rPr>
          <w:rFonts w:hint="cs"/>
          <w:rtl/>
        </w:rPr>
        <w:t xml:space="preserve"> </w:t>
      </w:r>
      <w:r w:rsidRPr="003F4B00">
        <w:rPr>
          <w:rtl/>
        </w:rPr>
        <w:t xml:space="preserve">וַיִּגַּע הַדָּבָר אֶל מֶלֶך </w:t>
      </w:r>
      <w:proofErr w:type="spellStart"/>
      <w:r w:rsidRPr="003F4B00">
        <w:rPr>
          <w:rtl/>
        </w:rPr>
        <w:t>נִינְוֵה</w:t>
      </w:r>
      <w:proofErr w:type="spellEnd"/>
      <w:r w:rsidRPr="003F4B00">
        <w:rPr>
          <w:rtl/>
        </w:rPr>
        <w:t xml:space="preserve"> </w:t>
      </w:r>
      <w:proofErr w:type="spellStart"/>
      <w:r w:rsidRPr="003F4B00">
        <w:rPr>
          <w:rtl/>
        </w:rPr>
        <w:t>וַיָּקָם</w:t>
      </w:r>
      <w:proofErr w:type="spellEnd"/>
      <w:r w:rsidRPr="003F4B00">
        <w:rPr>
          <w:rtl/>
        </w:rPr>
        <w:t xml:space="preserve"> </w:t>
      </w:r>
      <w:proofErr w:type="spellStart"/>
      <w:r w:rsidRPr="003F4B00">
        <w:rPr>
          <w:rtl/>
        </w:rPr>
        <w:t>מִכִּסְאו</w:t>
      </w:r>
      <w:proofErr w:type="spellEnd"/>
      <w:r w:rsidRPr="003F4B00">
        <w:rPr>
          <w:rtl/>
        </w:rPr>
        <w:t xml:space="preserve">ֹ וַיַעֲבֵר אַדַּרְתּוֹ מֵעָלָיו </w:t>
      </w:r>
      <w:proofErr w:type="spellStart"/>
      <w:r w:rsidRPr="003F4B00">
        <w:rPr>
          <w:rtl/>
        </w:rPr>
        <w:t>וַיְכַס</w:t>
      </w:r>
      <w:proofErr w:type="spellEnd"/>
      <w:r w:rsidRPr="003F4B00">
        <w:rPr>
          <w:rtl/>
        </w:rPr>
        <w:t xml:space="preserve"> שַק וַיֵּשֶב עַל הָאֵפֶר:</w:t>
      </w:r>
      <w:r>
        <w:rPr>
          <w:rFonts w:hint="cs"/>
          <w:rtl/>
        </w:rPr>
        <w:t xml:space="preserve"> </w:t>
      </w:r>
      <w:r w:rsidRPr="003F4B00">
        <w:rPr>
          <w:rtl/>
        </w:rPr>
        <w:t xml:space="preserve">וַיַּזְעֵק וַיֹּאמֶר בְּנִינְוֵה מִטַּעַם הַמֶּלֶךְ וּגְדֹלָיו </w:t>
      </w:r>
      <w:proofErr w:type="spellStart"/>
      <w:r w:rsidRPr="003F4B00">
        <w:rPr>
          <w:rtl/>
        </w:rPr>
        <w:t>לַאמֹר</w:t>
      </w:r>
      <w:proofErr w:type="spellEnd"/>
      <w:r w:rsidRPr="003F4B00">
        <w:rPr>
          <w:rtl/>
        </w:rPr>
        <w:t xml:space="preserve"> הָאָדָם וְהַבְּהֵמָה הַבָּקָר וְהַצֹאן אַל יִטְעֲמוּ מְאוּמָה אַל יִרְעוּ וּמַיִם אַל יִשְתּוּ:</w:t>
      </w:r>
    </w:p>
    <w:p w:rsidR="00FE148D" w:rsidRPr="00FE148D" w:rsidRDefault="00FE148D" w:rsidP="0051679D">
      <w:pPr>
        <w:spacing w:line="360" w:lineRule="auto"/>
        <w:jc w:val="both"/>
        <w:rPr>
          <w:rFonts w:ascii="Aharoni" w:hAnsi="Aharoni" w:cs="Aharoni"/>
          <w:sz w:val="20"/>
          <w:szCs w:val="20"/>
          <w:rtl/>
        </w:rPr>
      </w:pPr>
      <w:r w:rsidRPr="00FE148D">
        <w:rPr>
          <w:rFonts w:ascii="Aharoni" w:hAnsi="Aharoni" w:cs="Aharoni"/>
          <w:b/>
          <w:bCs/>
          <w:sz w:val="20"/>
          <w:szCs w:val="20"/>
          <w:rtl/>
        </w:rPr>
        <w:t>אברבנאל</w:t>
      </w:r>
      <w:r w:rsidRPr="00FE148D">
        <w:rPr>
          <w:rFonts w:ascii="Aharoni" w:hAnsi="Aharoni" w:cs="Aharoni"/>
          <w:sz w:val="20"/>
          <w:szCs w:val="20"/>
          <w:rtl/>
        </w:rPr>
        <w:t xml:space="preserve">: </w:t>
      </w:r>
      <w:proofErr w:type="spellStart"/>
      <w:r w:rsidRPr="00FE148D">
        <w:rPr>
          <w:rFonts w:ascii="Aharoni" w:hAnsi="Aharoni" w:cs="Aharoni"/>
          <w:sz w:val="20"/>
          <w:szCs w:val="20"/>
          <w:rtl/>
        </w:rPr>
        <w:t>וצוה</w:t>
      </w:r>
      <w:proofErr w:type="spellEnd"/>
      <w:r w:rsidRPr="00FE148D">
        <w:rPr>
          <w:rFonts w:ascii="Aharoni" w:hAnsi="Aharoni" w:cs="Aharoni"/>
          <w:sz w:val="20"/>
          <w:szCs w:val="20"/>
          <w:rtl/>
        </w:rPr>
        <w:t xml:space="preserve"> לכרוז בנינוה מטעם המלך </w:t>
      </w:r>
      <w:proofErr w:type="spellStart"/>
      <w:r w:rsidRPr="00FE148D">
        <w:rPr>
          <w:rFonts w:ascii="Aharoni" w:hAnsi="Aharoni" w:cs="Aharoni"/>
          <w:sz w:val="20"/>
          <w:szCs w:val="20"/>
          <w:rtl/>
        </w:rPr>
        <w:t>וגדוליו</w:t>
      </w:r>
      <w:proofErr w:type="spellEnd"/>
      <w:r w:rsidRPr="00FE148D">
        <w:rPr>
          <w:rFonts w:ascii="Aharoni" w:hAnsi="Aharoni" w:cs="Aharoni"/>
          <w:sz w:val="20"/>
          <w:szCs w:val="20"/>
          <w:rtl/>
        </w:rPr>
        <w:t xml:space="preserve">... שהאדם והבהמה אל יטעמו ואל ישתו. </w:t>
      </w:r>
      <w:proofErr w:type="spellStart"/>
      <w:r w:rsidRPr="00FE148D">
        <w:rPr>
          <w:rFonts w:ascii="Aharoni" w:hAnsi="Aharoni" w:cs="Aharoni"/>
          <w:sz w:val="20"/>
          <w:szCs w:val="20"/>
          <w:rtl/>
        </w:rPr>
        <w:t>והיתה</w:t>
      </w:r>
      <w:proofErr w:type="spellEnd"/>
      <w:r w:rsidRPr="00FE148D">
        <w:rPr>
          <w:rFonts w:ascii="Aharoni" w:hAnsi="Aharoni" w:cs="Aharoni"/>
          <w:sz w:val="20"/>
          <w:szCs w:val="20"/>
          <w:rtl/>
        </w:rPr>
        <w:t xml:space="preserve"> </w:t>
      </w:r>
      <w:proofErr w:type="spellStart"/>
      <w:r w:rsidRPr="00FE148D">
        <w:rPr>
          <w:rFonts w:ascii="Aharoni" w:hAnsi="Aharoni" w:cs="Aharoni"/>
          <w:sz w:val="20"/>
          <w:szCs w:val="20"/>
          <w:rtl/>
        </w:rPr>
        <w:t>המצוה</w:t>
      </w:r>
      <w:proofErr w:type="spellEnd"/>
      <w:r w:rsidRPr="00FE148D">
        <w:rPr>
          <w:rFonts w:ascii="Aharoni" w:hAnsi="Aharoni" w:cs="Aharoni"/>
          <w:sz w:val="20"/>
          <w:szCs w:val="20"/>
          <w:rtl/>
        </w:rPr>
        <w:t xml:space="preserve"> הזאת לבהמה עם היותה בלתי בעלת שכל, לפי שעיני כל בריה אליו יתברך ישֹברו והוא נותן את אכלם בעתו וכדַי שהבהמות במהפכת העיר יצעקו ויתענו לפניו כדי שירחם עליהם</w:t>
      </w:r>
      <w:r w:rsidRPr="00FE148D">
        <w:rPr>
          <w:rFonts w:ascii="Aharoni" w:hAnsi="Aharoni" w:cs="Aharoni"/>
          <w:sz w:val="20"/>
          <w:szCs w:val="20"/>
          <w:rtl/>
        </w:rPr>
        <w:t>.</w:t>
      </w:r>
    </w:p>
    <w:p w:rsidR="0040475C" w:rsidRDefault="0040475C" w:rsidP="0051679D">
      <w:pPr>
        <w:spacing w:line="360" w:lineRule="auto"/>
        <w:jc w:val="both"/>
        <w:rPr>
          <w:b/>
          <w:bCs/>
          <w:rtl/>
        </w:rPr>
      </w:pPr>
      <w:r w:rsidRPr="003F4B00">
        <w:rPr>
          <w:rtl/>
        </w:rPr>
        <w:t>וְיִתְכַּסּוּ שַקִּים הָאָדָם וְהַבְּהֵמָה וְיִקְרְאוּ אֶל אֱ-לֹהִים בְּחָזְקָה וְיָשבוּ אִיש מִדַּרְכּוֹ הָרָעָה וּמִן הֶחָמָס אֲשֶר בְּכַפֵּיהֶם:</w:t>
      </w:r>
      <w:r>
        <w:rPr>
          <w:rFonts w:hint="cs"/>
          <w:rtl/>
        </w:rPr>
        <w:t xml:space="preserve"> </w:t>
      </w:r>
      <w:r w:rsidRPr="003F4B00">
        <w:rPr>
          <w:rtl/>
        </w:rPr>
        <w:t xml:space="preserve">מִי יוֹדֵע </w:t>
      </w:r>
      <w:r w:rsidRPr="00601804">
        <w:rPr>
          <w:u w:val="single"/>
          <w:rtl/>
        </w:rPr>
        <w:t>יָשוּב וְנִחַם הָאֱ-לֹהִים וְשָב מֵחֲרוֹן אַפּוֹ וְלֹא נֹאבֵד</w:t>
      </w:r>
      <w:r w:rsidRPr="003F4B00">
        <w:rPr>
          <w:rtl/>
        </w:rPr>
        <w:t>:</w:t>
      </w:r>
      <w:r>
        <w:rPr>
          <w:rFonts w:hint="cs"/>
          <w:rtl/>
        </w:rPr>
        <w:t xml:space="preserve"> </w:t>
      </w:r>
      <w:r w:rsidRPr="000939AC">
        <w:rPr>
          <w:rtl/>
        </w:rPr>
        <w:t xml:space="preserve">וַיַרְא הָאֱ-לֹהִים אֶת מַעֲשֵיהֶם כִי שָבוּ מִדַּרְכָּם הָרָעָה </w:t>
      </w:r>
      <w:r w:rsidRPr="00601804">
        <w:rPr>
          <w:u w:val="single"/>
          <w:rtl/>
        </w:rPr>
        <w:t>וַיִּנָּחֶם הָאֱ-לֹהִים</w:t>
      </w:r>
      <w:r w:rsidRPr="000939AC">
        <w:rPr>
          <w:rtl/>
        </w:rPr>
        <w:t xml:space="preserve"> עַל הָרָעָה אֲשֶר דִּבֶּר לַעֲשוֹת לָהֶם וְלֹא עָשָה:</w:t>
      </w:r>
    </w:p>
    <w:p w:rsidR="005819C3" w:rsidRDefault="005819C3" w:rsidP="0051679D">
      <w:pPr>
        <w:spacing w:line="360" w:lineRule="auto"/>
        <w:jc w:val="both"/>
        <w:rPr>
          <w:b/>
          <w:bCs/>
          <w:rtl/>
        </w:rPr>
      </w:pPr>
    </w:p>
    <w:p w:rsidR="005819C3" w:rsidRDefault="005819C3" w:rsidP="0051679D">
      <w:pPr>
        <w:spacing w:line="360" w:lineRule="auto"/>
        <w:jc w:val="both"/>
        <w:rPr>
          <w:rtl/>
        </w:rPr>
      </w:pPr>
      <w:r w:rsidRPr="003F3880">
        <w:rPr>
          <w:rFonts w:hint="cs"/>
          <w:b/>
          <w:bCs/>
          <w:rtl/>
        </w:rPr>
        <w:t xml:space="preserve">בבלי </w:t>
      </w:r>
      <w:r>
        <w:rPr>
          <w:rFonts w:hint="cs"/>
          <w:b/>
          <w:bCs/>
          <w:rtl/>
        </w:rPr>
        <w:t xml:space="preserve">תענית </w:t>
      </w:r>
      <w:proofErr w:type="spellStart"/>
      <w:r w:rsidRPr="003F3880">
        <w:rPr>
          <w:rFonts w:hint="cs"/>
          <w:b/>
          <w:bCs/>
          <w:rtl/>
        </w:rPr>
        <w:t>טז</w:t>
      </w:r>
      <w:proofErr w:type="spellEnd"/>
      <w:r w:rsidRPr="003F3880">
        <w:rPr>
          <w:rFonts w:hint="cs"/>
          <w:b/>
          <w:bCs/>
          <w:rtl/>
        </w:rPr>
        <w:t>, א</w:t>
      </w:r>
      <w:r>
        <w:rPr>
          <w:rFonts w:hint="cs"/>
          <w:rtl/>
        </w:rPr>
        <w:t xml:space="preserve">: </w:t>
      </w:r>
      <w:r>
        <w:rPr>
          <w:rFonts w:hint="cs"/>
          <w:rtl/>
        </w:rPr>
        <w:t xml:space="preserve">משנה: </w:t>
      </w:r>
      <w:r>
        <w:rPr>
          <w:rtl/>
        </w:rPr>
        <w:t xml:space="preserve">סדר תעניות כיצד? </w:t>
      </w:r>
      <w:proofErr w:type="spellStart"/>
      <w:r>
        <w:rPr>
          <w:rtl/>
        </w:rPr>
        <w:t>מוציאין</w:t>
      </w:r>
      <w:proofErr w:type="spellEnd"/>
      <w:r>
        <w:rPr>
          <w:rtl/>
        </w:rPr>
        <w:t xml:space="preserve"> את התיבה לרחובה של עיר, </w:t>
      </w:r>
      <w:proofErr w:type="spellStart"/>
      <w:r>
        <w:rPr>
          <w:rtl/>
        </w:rPr>
        <w:t>ונותנין</w:t>
      </w:r>
      <w:proofErr w:type="spellEnd"/>
      <w:r>
        <w:rPr>
          <w:rtl/>
        </w:rPr>
        <w:t xml:space="preserve"> אפר מקלה על גבי התיבה ובראש הנשיא ובראש אב בית דין וכל אחד ואחד נותן בראשו. הזקן שבהן אומר לפניהן דברי </w:t>
      </w:r>
      <w:proofErr w:type="spellStart"/>
      <w:r>
        <w:rPr>
          <w:rtl/>
        </w:rPr>
        <w:t>כבושין</w:t>
      </w:r>
      <w:proofErr w:type="spellEnd"/>
      <w:r>
        <w:rPr>
          <w:rtl/>
        </w:rPr>
        <w:t xml:space="preserve">: אחינו, לא נאמר באנשי </w:t>
      </w:r>
      <w:proofErr w:type="spellStart"/>
      <w:r>
        <w:rPr>
          <w:rtl/>
        </w:rPr>
        <w:t>נינוה</w:t>
      </w:r>
      <w:proofErr w:type="spellEnd"/>
      <w:r w:rsidRPr="006179EA">
        <w:rPr>
          <w:rStyle w:val="a5"/>
          <w:rtl/>
        </w:rPr>
        <w:t xml:space="preserve"> </w:t>
      </w:r>
      <w:r>
        <w:rPr>
          <w:rtl/>
        </w:rPr>
        <w:t xml:space="preserve">וירא א-להים את שקם ואת תעניתם, אלא וירא א-להים את מעשיהם כי שבו מדרכם הרעה. </w:t>
      </w:r>
    </w:p>
    <w:p w:rsidR="005819C3" w:rsidRDefault="005819C3" w:rsidP="0051679D">
      <w:pPr>
        <w:spacing w:line="360" w:lineRule="auto"/>
        <w:jc w:val="both"/>
        <w:rPr>
          <w:rtl/>
        </w:rPr>
      </w:pPr>
      <w:r>
        <w:rPr>
          <w:rFonts w:hint="cs"/>
          <w:rtl/>
        </w:rPr>
        <w:t xml:space="preserve">גמרא: </w:t>
      </w:r>
      <w:r>
        <w:rPr>
          <w:rtl/>
        </w:rPr>
        <w:t xml:space="preserve">ויתכסו שקים האדם והבהמה, מאי הוו עבדי? - </w:t>
      </w:r>
      <w:proofErr w:type="spellStart"/>
      <w:r>
        <w:rPr>
          <w:rtl/>
        </w:rPr>
        <w:t>אסרא</w:t>
      </w:r>
      <w:proofErr w:type="spellEnd"/>
      <w:r>
        <w:rPr>
          <w:rtl/>
        </w:rPr>
        <w:t xml:space="preserve"> הבהמות לחוד ואת הוולדות לחוד, אמרו לפניו: </w:t>
      </w:r>
      <w:proofErr w:type="spellStart"/>
      <w:r>
        <w:rPr>
          <w:rtl/>
        </w:rPr>
        <w:t>רבונו</w:t>
      </w:r>
      <w:proofErr w:type="spellEnd"/>
      <w:r>
        <w:rPr>
          <w:rtl/>
        </w:rPr>
        <w:t xml:space="preserve"> של עולם! אם אין אתה מרחם עלינו - אין אנו מרחמים על אלו</w:t>
      </w:r>
    </w:p>
    <w:p w:rsidR="005819C3" w:rsidRDefault="005819C3" w:rsidP="0051679D">
      <w:pPr>
        <w:spacing w:line="360" w:lineRule="auto"/>
        <w:jc w:val="both"/>
        <w:rPr>
          <w:rtl/>
        </w:rPr>
      </w:pPr>
      <w:r>
        <w:rPr>
          <w:rFonts w:hint="cs"/>
          <w:rtl/>
        </w:rPr>
        <w:t>"</w:t>
      </w:r>
      <w:r>
        <w:rPr>
          <w:rtl/>
        </w:rPr>
        <w:t xml:space="preserve">ויקראו אל </w:t>
      </w:r>
      <w:proofErr w:type="spellStart"/>
      <w:r>
        <w:rPr>
          <w:rtl/>
        </w:rPr>
        <w:t>אלהים</w:t>
      </w:r>
      <w:proofErr w:type="spellEnd"/>
      <w:r>
        <w:rPr>
          <w:rtl/>
        </w:rPr>
        <w:t xml:space="preserve"> בחזקה</w:t>
      </w:r>
      <w:r>
        <w:rPr>
          <w:rFonts w:hint="cs"/>
          <w:rtl/>
        </w:rPr>
        <w:t>"</w:t>
      </w:r>
      <w:r>
        <w:rPr>
          <w:rtl/>
        </w:rPr>
        <w:t xml:space="preserve">, מאי אמור? אמרו לפניו: </w:t>
      </w:r>
      <w:proofErr w:type="spellStart"/>
      <w:r>
        <w:rPr>
          <w:rtl/>
        </w:rPr>
        <w:t>רבונו</w:t>
      </w:r>
      <w:proofErr w:type="spellEnd"/>
      <w:r>
        <w:rPr>
          <w:rtl/>
        </w:rPr>
        <w:t xml:space="preserve"> של עולם! עלוב ושאינו עלוב, צדיק ורשע - מי נדחה מפני מי? +יונה ג'+ וישבו איש מדרכו הרעה ומן החמס אשר בכפיהם. מאי ומן החמס אשר בכפיהם? אמר שמואל: אפילו גזל מריש ובנאו בבירה - מקעקע כל הבירה כולה ומחזיר מריש לבעליו.</w:t>
      </w:r>
      <w:r w:rsidR="00FE148D">
        <w:rPr>
          <w:rStyle w:val="af"/>
          <w:rtl/>
        </w:rPr>
        <w:footnoteReference w:id="1"/>
      </w:r>
    </w:p>
    <w:p w:rsidR="0040475C" w:rsidRDefault="003F3880" w:rsidP="0051679D">
      <w:pPr>
        <w:spacing w:line="360" w:lineRule="auto"/>
        <w:jc w:val="both"/>
        <w:rPr>
          <w:rtl/>
        </w:rPr>
      </w:pPr>
      <w:r w:rsidRPr="003F3880">
        <w:rPr>
          <w:rFonts w:hint="cs"/>
          <w:b/>
          <w:bCs/>
          <w:rtl/>
        </w:rPr>
        <w:t>ירושלמי תעני</w:t>
      </w:r>
      <w:r w:rsidR="0051679D">
        <w:rPr>
          <w:rFonts w:hint="cs"/>
          <w:b/>
          <w:bCs/>
          <w:rtl/>
        </w:rPr>
        <w:t>ו</w:t>
      </w:r>
      <w:r w:rsidRPr="003F3880">
        <w:rPr>
          <w:rFonts w:hint="cs"/>
          <w:b/>
          <w:bCs/>
          <w:rtl/>
        </w:rPr>
        <w:t>ת ח, ב</w:t>
      </w:r>
      <w:r>
        <w:rPr>
          <w:rFonts w:hint="cs"/>
          <w:rtl/>
        </w:rPr>
        <w:t>:</w:t>
      </w:r>
      <w:r>
        <w:rPr>
          <w:rFonts w:hint="cs"/>
          <w:rtl/>
        </w:rPr>
        <w:t xml:space="preserve"> </w:t>
      </w:r>
      <w:r w:rsidR="0040475C">
        <w:rPr>
          <w:rtl/>
        </w:rPr>
        <w:t xml:space="preserve">אמר רבן שמעון בן לקיש תשובה של </w:t>
      </w:r>
      <w:proofErr w:type="spellStart"/>
      <w:r w:rsidR="0040475C">
        <w:rPr>
          <w:rtl/>
        </w:rPr>
        <w:t>רמיות</w:t>
      </w:r>
      <w:proofErr w:type="spellEnd"/>
      <w:r w:rsidR="0040475C">
        <w:rPr>
          <w:rtl/>
        </w:rPr>
        <w:t xml:space="preserve"> עשו אנשי </w:t>
      </w:r>
      <w:proofErr w:type="spellStart"/>
      <w:r w:rsidR="0040475C">
        <w:rPr>
          <w:rtl/>
        </w:rPr>
        <w:t>נינוה</w:t>
      </w:r>
      <w:proofErr w:type="spellEnd"/>
      <w:r w:rsidR="0040475C">
        <w:rPr>
          <w:rtl/>
        </w:rPr>
        <w:t xml:space="preserve"> </w:t>
      </w:r>
    </w:p>
    <w:p w:rsidR="0040475C" w:rsidRDefault="0040475C" w:rsidP="0051679D">
      <w:pPr>
        <w:spacing w:line="360" w:lineRule="auto"/>
        <w:jc w:val="both"/>
        <w:rPr>
          <w:rtl/>
        </w:rPr>
      </w:pPr>
      <w:r>
        <w:rPr>
          <w:rtl/>
        </w:rPr>
        <w:t>מה עשו</w:t>
      </w:r>
      <w:r>
        <w:rPr>
          <w:rFonts w:hint="cs"/>
          <w:rtl/>
        </w:rPr>
        <w:t>?</w:t>
      </w:r>
      <w:r>
        <w:rPr>
          <w:rtl/>
        </w:rPr>
        <w:t xml:space="preserve"> רבי חונה בשם </w:t>
      </w:r>
      <w:proofErr w:type="spellStart"/>
      <w:r>
        <w:rPr>
          <w:rtl/>
        </w:rPr>
        <w:t>ר"ש</w:t>
      </w:r>
      <w:proofErr w:type="spellEnd"/>
      <w:r>
        <w:rPr>
          <w:rtl/>
        </w:rPr>
        <w:t xml:space="preserve"> בן </w:t>
      </w:r>
      <w:proofErr w:type="spellStart"/>
      <w:r>
        <w:rPr>
          <w:rtl/>
        </w:rPr>
        <w:t>חלפותא</w:t>
      </w:r>
      <w:proofErr w:type="spellEnd"/>
      <w:r>
        <w:rPr>
          <w:rtl/>
        </w:rPr>
        <w:t xml:space="preserve"> העמידו עגלים מבפנים ואימותיהם מבחוץ סייחים מבפנים ואימותיהם מבחוץ והוון </w:t>
      </w:r>
      <w:proofErr w:type="spellStart"/>
      <w:r>
        <w:rPr>
          <w:rtl/>
        </w:rPr>
        <w:t>אילין</w:t>
      </w:r>
      <w:proofErr w:type="spellEnd"/>
      <w:r>
        <w:rPr>
          <w:rtl/>
        </w:rPr>
        <w:t xml:space="preserve"> </w:t>
      </w:r>
      <w:proofErr w:type="spellStart"/>
      <w:r>
        <w:rPr>
          <w:rtl/>
        </w:rPr>
        <w:t>געיי</w:t>
      </w:r>
      <w:proofErr w:type="spellEnd"/>
      <w:r>
        <w:rPr>
          <w:rtl/>
        </w:rPr>
        <w:t xml:space="preserve"> מן הכא </w:t>
      </w:r>
      <w:proofErr w:type="spellStart"/>
      <w:r>
        <w:rPr>
          <w:rtl/>
        </w:rPr>
        <w:t>ואילין</w:t>
      </w:r>
      <w:proofErr w:type="spellEnd"/>
      <w:r>
        <w:rPr>
          <w:rtl/>
        </w:rPr>
        <w:t xml:space="preserve"> </w:t>
      </w:r>
      <w:proofErr w:type="spellStart"/>
      <w:r>
        <w:rPr>
          <w:rtl/>
        </w:rPr>
        <w:t>געיי</w:t>
      </w:r>
      <w:proofErr w:type="spellEnd"/>
      <w:r>
        <w:rPr>
          <w:rtl/>
        </w:rPr>
        <w:t xml:space="preserve"> מן הכא אמרין אין לית </w:t>
      </w:r>
      <w:proofErr w:type="spellStart"/>
      <w:r>
        <w:rPr>
          <w:rtl/>
        </w:rPr>
        <w:t>מתרחם</w:t>
      </w:r>
      <w:proofErr w:type="spellEnd"/>
      <w:r>
        <w:rPr>
          <w:rtl/>
        </w:rPr>
        <w:t xml:space="preserve"> </w:t>
      </w:r>
      <w:proofErr w:type="spellStart"/>
      <w:r>
        <w:rPr>
          <w:rtl/>
        </w:rPr>
        <w:t>עלינן</w:t>
      </w:r>
      <w:proofErr w:type="spellEnd"/>
      <w:r>
        <w:rPr>
          <w:rtl/>
        </w:rPr>
        <w:t xml:space="preserve"> </w:t>
      </w:r>
      <w:proofErr w:type="spellStart"/>
      <w:r>
        <w:rPr>
          <w:rtl/>
        </w:rPr>
        <w:t>לינן</w:t>
      </w:r>
      <w:proofErr w:type="spellEnd"/>
      <w:r>
        <w:rPr>
          <w:rtl/>
        </w:rPr>
        <w:t xml:space="preserve"> </w:t>
      </w:r>
      <w:proofErr w:type="spellStart"/>
      <w:r>
        <w:rPr>
          <w:rtl/>
        </w:rPr>
        <w:t>מרחמין</w:t>
      </w:r>
      <w:proofErr w:type="spellEnd"/>
      <w:r>
        <w:rPr>
          <w:rtl/>
        </w:rPr>
        <w:t xml:space="preserve"> </w:t>
      </w:r>
      <w:proofErr w:type="spellStart"/>
      <w:r>
        <w:rPr>
          <w:rtl/>
        </w:rPr>
        <w:t>עליהון</w:t>
      </w:r>
      <w:proofErr w:type="spellEnd"/>
      <w:r>
        <w:rPr>
          <w:rtl/>
        </w:rPr>
        <w:t xml:space="preserve"> </w:t>
      </w:r>
      <w:proofErr w:type="spellStart"/>
      <w:r>
        <w:rPr>
          <w:rtl/>
        </w:rPr>
        <w:t>הה"ד</w:t>
      </w:r>
      <w:proofErr w:type="spellEnd"/>
      <w:r>
        <w:rPr>
          <w:rtl/>
        </w:rPr>
        <w:t xml:space="preserve"> [יואל א </w:t>
      </w:r>
      <w:proofErr w:type="spellStart"/>
      <w:r>
        <w:rPr>
          <w:rtl/>
        </w:rPr>
        <w:t>יח</w:t>
      </w:r>
      <w:proofErr w:type="spellEnd"/>
      <w:r>
        <w:rPr>
          <w:rtl/>
        </w:rPr>
        <w:t xml:space="preserve">] מה נאנחה בהמה </w:t>
      </w:r>
      <w:proofErr w:type="spellStart"/>
      <w:r>
        <w:rPr>
          <w:rtl/>
        </w:rPr>
        <w:t>נבכו</w:t>
      </w:r>
      <w:proofErr w:type="spellEnd"/>
      <w:r>
        <w:rPr>
          <w:rtl/>
        </w:rPr>
        <w:t xml:space="preserve"> עדרי בקר וגו'. </w:t>
      </w:r>
      <w:proofErr w:type="spellStart"/>
      <w:r>
        <w:rPr>
          <w:rtl/>
        </w:rPr>
        <w:t>א"ר</w:t>
      </w:r>
      <w:proofErr w:type="spellEnd"/>
      <w:r>
        <w:rPr>
          <w:rtl/>
        </w:rPr>
        <w:t xml:space="preserve"> אחא </w:t>
      </w:r>
      <w:proofErr w:type="spellStart"/>
      <w:r>
        <w:rPr>
          <w:rtl/>
        </w:rPr>
        <w:t>בערביא</w:t>
      </w:r>
      <w:proofErr w:type="spellEnd"/>
      <w:r>
        <w:rPr>
          <w:rtl/>
        </w:rPr>
        <w:t xml:space="preserve"> עבדין כן </w:t>
      </w:r>
    </w:p>
    <w:p w:rsidR="00FE148D" w:rsidRDefault="0040475C" w:rsidP="0051679D">
      <w:pPr>
        <w:spacing w:line="360" w:lineRule="auto"/>
        <w:jc w:val="both"/>
        <w:rPr>
          <w:rtl/>
        </w:rPr>
      </w:pPr>
      <w:r>
        <w:rPr>
          <w:rtl/>
        </w:rPr>
        <w:t xml:space="preserve">[יונה ג ח] ויתכסו שקים האדם והבהמה ויקראו אל </w:t>
      </w:r>
      <w:proofErr w:type="spellStart"/>
      <w:r>
        <w:rPr>
          <w:rtl/>
        </w:rPr>
        <w:t>אלהים</w:t>
      </w:r>
      <w:proofErr w:type="spellEnd"/>
      <w:r>
        <w:rPr>
          <w:rtl/>
        </w:rPr>
        <w:t xml:space="preserve"> בחזקה מהו בחזקה </w:t>
      </w:r>
      <w:proofErr w:type="spellStart"/>
      <w:r>
        <w:rPr>
          <w:rtl/>
        </w:rPr>
        <w:t>אר"ש</w:t>
      </w:r>
      <w:proofErr w:type="spellEnd"/>
      <w:r>
        <w:rPr>
          <w:rtl/>
        </w:rPr>
        <w:t xml:space="preserve"> בן </w:t>
      </w:r>
      <w:proofErr w:type="spellStart"/>
      <w:r>
        <w:rPr>
          <w:rtl/>
        </w:rPr>
        <w:t>חלפותא</w:t>
      </w:r>
      <w:proofErr w:type="spellEnd"/>
      <w:r>
        <w:rPr>
          <w:rtl/>
        </w:rPr>
        <w:t xml:space="preserve"> </w:t>
      </w:r>
      <w:proofErr w:type="spellStart"/>
      <w:r>
        <w:rPr>
          <w:rtl/>
        </w:rPr>
        <w:t>חציפא</w:t>
      </w:r>
      <w:proofErr w:type="spellEnd"/>
      <w:r>
        <w:rPr>
          <w:rtl/>
        </w:rPr>
        <w:t xml:space="preserve"> נצח לכשירא </w:t>
      </w:r>
      <w:r>
        <w:rPr>
          <w:rFonts w:hint="cs"/>
          <w:rtl/>
        </w:rPr>
        <w:t xml:space="preserve">[- החצוף גובר על הכשר] </w:t>
      </w:r>
      <w:r>
        <w:rPr>
          <w:rtl/>
        </w:rPr>
        <w:t>כל שכן לטובתו של עולם.</w:t>
      </w:r>
      <w:r w:rsidR="00FE148D">
        <w:rPr>
          <w:rStyle w:val="af"/>
          <w:rtl/>
        </w:rPr>
        <w:footnoteReference w:id="2"/>
      </w:r>
      <w:r>
        <w:rPr>
          <w:rtl/>
        </w:rPr>
        <w:t xml:space="preserve"> </w:t>
      </w:r>
    </w:p>
    <w:p w:rsidR="00FE148D" w:rsidRDefault="0040475C" w:rsidP="0051679D">
      <w:pPr>
        <w:spacing w:line="360" w:lineRule="auto"/>
        <w:jc w:val="both"/>
        <w:rPr>
          <w:rtl/>
        </w:rPr>
      </w:pPr>
      <w:r>
        <w:rPr>
          <w:rtl/>
        </w:rPr>
        <w:t xml:space="preserve">[יונה ג ח] וישבו איש מדרכו הרעה ומן החמס אשר בכפיהם </w:t>
      </w:r>
      <w:proofErr w:type="spellStart"/>
      <w:r>
        <w:rPr>
          <w:rtl/>
        </w:rPr>
        <w:t>א"ר</w:t>
      </w:r>
      <w:proofErr w:type="spellEnd"/>
      <w:r>
        <w:rPr>
          <w:rtl/>
        </w:rPr>
        <w:t xml:space="preserve"> יוחנן מה שהיה בכף ידיהם החזירו מה שהיה בשידה תיבה ומגדל לא החזירו. </w:t>
      </w:r>
    </w:p>
    <w:p w:rsidR="00FE148D" w:rsidRDefault="00FE148D" w:rsidP="0051679D">
      <w:pPr>
        <w:spacing w:line="360" w:lineRule="auto"/>
        <w:jc w:val="both"/>
        <w:rPr>
          <w:rtl/>
        </w:rPr>
      </w:pPr>
    </w:p>
    <w:p w:rsidR="00FE148D" w:rsidRDefault="00FE148D" w:rsidP="0051679D">
      <w:pPr>
        <w:spacing w:line="360" w:lineRule="auto"/>
        <w:jc w:val="both"/>
        <w:rPr>
          <w:rtl/>
        </w:rPr>
      </w:pPr>
      <w:r w:rsidRPr="00FE148D">
        <w:rPr>
          <w:b/>
          <w:bCs/>
          <w:rtl/>
        </w:rPr>
        <w:lastRenderedPageBreak/>
        <w:t xml:space="preserve">תלמוד בבלי מסכת סנהדרין דף </w:t>
      </w:r>
      <w:proofErr w:type="spellStart"/>
      <w:r w:rsidRPr="00FE148D">
        <w:rPr>
          <w:b/>
          <w:bCs/>
          <w:rtl/>
        </w:rPr>
        <w:t>קה</w:t>
      </w:r>
      <w:proofErr w:type="spellEnd"/>
      <w:r w:rsidRPr="00FE148D">
        <w:rPr>
          <w:b/>
          <w:bCs/>
          <w:rtl/>
        </w:rPr>
        <w:t xml:space="preserve"> עמוד א</w:t>
      </w:r>
      <w:r>
        <w:rPr>
          <w:rFonts w:hint="cs"/>
          <w:rtl/>
        </w:rPr>
        <w:t xml:space="preserve">: </w:t>
      </w:r>
      <w:r>
        <w:rPr>
          <w:rtl/>
        </w:rPr>
        <w:t xml:space="preserve">אמר רב נחמן: </w:t>
      </w:r>
      <w:proofErr w:type="spellStart"/>
      <w:r>
        <w:rPr>
          <w:rtl/>
        </w:rPr>
        <w:t>חוצפא</w:t>
      </w:r>
      <w:proofErr w:type="spellEnd"/>
      <w:r>
        <w:rPr>
          <w:rtl/>
        </w:rPr>
        <w:t>, אפילו כלפי שמיא מהני.</w:t>
      </w:r>
    </w:p>
    <w:p w:rsidR="0051679D" w:rsidRDefault="0051679D" w:rsidP="0051679D">
      <w:pPr>
        <w:spacing w:line="360" w:lineRule="auto"/>
        <w:jc w:val="both"/>
        <w:rPr>
          <w:rStyle w:val="a5"/>
          <w:rFonts w:ascii="FrankRuehl" w:hAnsi="FrankRuehl" w:cs="FrankRuehl"/>
          <w:sz w:val="22"/>
          <w:szCs w:val="22"/>
          <w:rtl/>
        </w:rPr>
      </w:pPr>
    </w:p>
    <w:p w:rsidR="00FE148D" w:rsidRPr="0051679D" w:rsidRDefault="00FE148D" w:rsidP="0051679D">
      <w:pPr>
        <w:spacing w:line="360" w:lineRule="auto"/>
        <w:jc w:val="both"/>
        <w:rPr>
          <w:rFonts w:ascii="FrankRuehl" w:hAnsi="FrankRuehl"/>
          <w:rtl/>
        </w:rPr>
      </w:pPr>
      <w:r w:rsidRPr="0051679D">
        <w:rPr>
          <w:rStyle w:val="a5"/>
          <w:rFonts w:ascii="FrankRuehl" w:hAnsi="FrankRuehl" w:cs="FrankRuehl"/>
          <w:b/>
          <w:bCs/>
          <w:sz w:val="22"/>
          <w:szCs w:val="22"/>
          <w:rtl/>
        </w:rPr>
        <w:t xml:space="preserve">ירושלמי, תעניות פ"ג </w:t>
      </w:r>
      <w:proofErr w:type="spellStart"/>
      <w:r w:rsidRPr="0051679D">
        <w:rPr>
          <w:rStyle w:val="a5"/>
          <w:rFonts w:ascii="FrankRuehl" w:hAnsi="FrankRuehl" w:cs="FrankRuehl"/>
          <w:b/>
          <w:bCs/>
          <w:sz w:val="22"/>
          <w:szCs w:val="22"/>
          <w:rtl/>
        </w:rPr>
        <w:t>ה"ד</w:t>
      </w:r>
      <w:proofErr w:type="spellEnd"/>
      <w:r w:rsidRPr="0051679D">
        <w:rPr>
          <w:rFonts w:ascii="FrankRuehl" w:hAnsi="FrankRuehl"/>
          <w:rtl/>
        </w:rPr>
        <w:t>:</w:t>
      </w:r>
      <w:r w:rsidRPr="0051679D">
        <w:rPr>
          <w:rFonts w:ascii="FrankRuehl" w:hAnsi="FrankRuehl"/>
          <w:rtl/>
        </w:rPr>
        <w:t xml:space="preserve"> </w:t>
      </w:r>
      <w:r w:rsidRPr="0051679D">
        <w:rPr>
          <w:rFonts w:ascii="FrankRuehl" w:hAnsi="FrankRuehl"/>
          <w:rtl/>
        </w:rPr>
        <w:t xml:space="preserve">רבי </w:t>
      </w:r>
      <w:proofErr w:type="spellStart"/>
      <w:r w:rsidRPr="0051679D">
        <w:rPr>
          <w:rFonts w:ascii="FrankRuehl" w:hAnsi="FrankRuehl"/>
          <w:rtl/>
        </w:rPr>
        <w:t>ליעזר</w:t>
      </w:r>
      <w:proofErr w:type="spellEnd"/>
      <w:r w:rsidRPr="0051679D">
        <w:rPr>
          <w:rFonts w:ascii="FrankRuehl" w:hAnsi="FrankRuehl"/>
          <w:rtl/>
        </w:rPr>
        <w:t xml:space="preserve"> עבד תעני ולא </w:t>
      </w:r>
      <w:proofErr w:type="spellStart"/>
      <w:r w:rsidRPr="0051679D">
        <w:rPr>
          <w:rFonts w:ascii="FrankRuehl" w:hAnsi="FrankRuehl"/>
          <w:rtl/>
        </w:rPr>
        <w:t>איתנחת</w:t>
      </w:r>
      <w:proofErr w:type="spellEnd"/>
      <w:r w:rsidRPr="0051679D">
        <w:rPr>
          <w:rFonts w:ascii="FrankRuehl" w:hAnsi="FrankRuehl"/>
          <w:rtl/>
        </w:rPr>
        <w:t xml:space="preserve"> </w:t>
      </w:r>
      <w:proofErr w:type="spellStart"/>
      <w:r w:rsidRPr="0051679D">
        <w:rPr>
          <w:rFonts w:ascii="FrankRuehl" w:hAnsi="FrankRuehl"/>
          <w:rtl/>
        </w:rPr>
        <w:t>מיטרא</w:t>
      </w:r>
      <w:proofErr w:type="spellEnd"/>
      <w:r w:rsidRPr="0051679D">
        <w:rPr>
          <w:rFonts w:ascii="FrankRuehl" w:hAnsi="FrankRuehl"/>
          <w:rtl/>
        </w:rPr>
        <w:t xml:space="preserve">, עבד רבי עקיבה תעני ונחת </w:t>
      </w:r>
      <w:proofErr w:type="spellStart"/>
      <w:r w:rsidRPr="0051679D">
        <w:rPr>
          <w:rFonts w:ascii="FrankRuehl" w:hAnsi="FrankRuehl"/>
          <w:rtl/>
        </w:rPr>
        <w:t>מיטרא</w:t>
      </w:r>
      <w:proofErr w:type="spellEnd"/>
      <w:r w:rsidRPr="0051679D">
        <w:rPr>
          <w:rFonts w:ascii="FrankRuehl" w:hAnsi="FrankRuehl"/>
          <w:rtl/>
        </w:rPr>
        <w:t xml:space="preserve">. </w:t>
      </w:r>
      <w:proofErr w:type="spellStart"/>
      <w:r w:rsidRPr="0051679D">
        <w:rPr>
          <w:rFonts w:ascii="FrankRuehl" w:hAnsi="FrankRuehl"/>
          <w:rtl/>
        </w:rPr>
        <w:t>עאל</w:t>
      </w:r>
      <w:proofErr w:type="spellEnd"/>
      <w:r w:rsidRPr="0051679D">
        <w:rPr>
          <w:rFonts w:ascii="FrankRuehl" w:hAnsi="FrankRuehl"/>
          <w:rtl/>
        </w:rPr>
        <w:t xml:space="preserve"> ואמר </w:t>
      </w:r>
      <w:proofErr w:type="spellStart"/>
      <w:r w:rsidRPr="0051679D">
        <w:rPr>
          <w:rFonts w:ascii="FrankRuehl" w:hAnsi="FrankRuehl"/>
          <w:rtl/>
        </w:rPr>
        <w:t>קומיהון</w:t>
      </w:r>
      <w:proofErr w:type="spellEnd"/>
      <w:r w:rsidRPr="0051679D">
        <w:rPr>
          <w:rFonts w:ascii="FrankRuehl" w:hAnsi="FrankRuehl"/>
          <w:rtl/>
        </w:rPr>
        <w:t xml:space="preserve">: אמשול לכם משל למה הדבר דומה, למלך שהיו לו שתי בנות אחת </w:t>
      </w:r>
      <w:r w:rsidRPr="0051679D">
        <w:rPr>
          <w:rFonts w:ascii="FrankRuehl" w:hAnsi="FrankRuehl"/>
          <w:b/>
          <w:bCs/>
          <w:rtl/>
        </w:rPr>
        <w:t>חצופה</w:t>
      </w:r>
      <w:r w:rsidRPr="0051679D">
        <w:rPr>
          <w:rFonts w:ascii="FrankRuehl" w:hAnsi="FrankRuehl"/>
          <w:rtl/>
        </w:rPr>
        <w:t xml:space="preserve"> ואחת </w:t>
      </w:r>
      <w:r w:rsidRPr="0051679D">
        <w:rPr>
          <w:rFonts w:ascii="FrankRuehl" w:hAnsi="FrankRuehl"/>
          <w:b/>
          <w:bCs/>
          <w:rtl/>
        </w:rPr>
        <w:t>כשירה</w:t>
      </w:r>
      <w:r w:rsidRPr="0051679D">
        <w:rPr>
          <w:rFonts w:ascii="FrankRuehl" w:hAnsi="FrankRuehl"/>
          <w:rtl/>
        </w:rPr>
        <w:t xml:space="preserve">. אימת דהות </w:t>
      </w:r>
      <w:proofErr w:type="spellStart"/>
      <w:r w:rsidRPr="0051679D">
        <w:rPr>
          <w:rFonts w:ascii="FrankRuehl" w:hAnsi="FrankRuehl"/>
          <w:rtl/>
        </w:rPr>
        <w:t>בעייא</w:t>
      </w:r>
      <w:proofErr w:type="spellEnd"/>
      <w:r w:rsidRPr="0051679D">
        <w:rPr>
          <w:rFonts w:ascii="FrankRuehl" w:hAnsi="FrankRuehl"/>
          <w:rtl/>
        </w:rPr>
        <w:t xml:space="preserve"> ההיא </w:t>
      </w:r>
      <w:proofErr w:type="spellStart"/>
      <w:r w:rsidRPr="0051679D">
        <w:rPr>
          <w:rFonts w:ascii="FrankRuehl" w:hAnsi="FrankRuehl"/>
          <w:b/>
          <w:bCs/>
          <w:rtl/>
        </w:rPr>
        <w:t>חציפתא</w:t>
      </w:r>
      <w:proofErr w:type="spellEnd"/>
      <w:r w:rsidRPr="0051679D">
        <w:rPr>
          <w:rFonts w:ascii="FrankRuehl" w:hAnsi="FrankRuehl"/>
          <w:b/>
          <w:bCs/>
          <w:rtl/>
        </w:rPr>
        <w:t xml:space="preserve"> </w:t>
      </w:r>
      <w:proofErr w:type="spellStart"/>
      <w:r w:rsidRPr="0051679D">
        <w:rPr>
          <w:rFonts w:ascii="FrankRuehl" w:hAnsi="FrankRuehl"/>
          <w:rtl/>
        </w:rPr>
        <w:t>עלת</w:t>
      </w:r>
      <w:proofErr w:type="spellEnd"/>
      <w:r w:rsidRPr="0051679D">
        <w:rPr>
          <w:rFonts w:ascii="FrankRuehl" w:hAnsi="FrankRuehl"/>
          <w:rtl/>
        </w:rPr>
        <w:t xml:space="preserve"> </w:t>
      </w:r>
      <w:proofErr w:type="spellStart"/>
      <w:r w:rsidRPr="0051679D">
        <w:rPr>
          <w:rFonts w:ascii="FrankRuehl" w:hAnsi="FrankRuehl"/>
          <w:rtl/>
        </w:rPr>
        <w:t>קומוי</w:t>
      </w:r>
      <w:proofErr w:type="spellEnd"/>
      <w:r w:rsidRPr="0051679D">
        <w:rPr>
          <w:rFonts w:ascii="FrankRuehl" w:hAnsi="FrankRuehl"/>
          <w:rtl/>
        </w:rPr>
        <w:t xml:space="preserve">, </w:t>
      </w:r>
      <w:proofErr w:type="spellStart"/>
      <w:r w:rsidRPr="0051679D">
        <w:rPr>
          <w:rFonts w:ascii="FrankRuehl" w:hAnsi="FrankRuehl"/>
          <w:rtl/>
        </w:rPr>
        <w:t>הוה</w:t>
      </w:r>
      <w:proofErr w:type="spellEnd"/>
      <w:r w:rsidRPr="0051679D">
        <w:rPr>
          <w:rFonts w:ascii="FrankRuehl" w:hAnsi="FrankRuehl"/>
          <w:rtl/>
        </w:rPr>
        <w:t xml:space="preserve"> אמר: </w:t>
      </w:r>
      <w:proofErr w:type="spellStart"/>
      <w:r w:rsidRPr="0051679D">
        <w:rPr>
          <w:rFonts w:ascii="FrankRuehl" w:hAnsi="FrankRuehl"/>
          <w:rtl/>
        </w:rPr>
        <w:t>יבון</w:t>
      </w:r>
      <w:proofErr w:type="spellEnd"/>
      <w:r w:rsidRPr="0051679D">
        <w:rPr>
          <w:rFonts w:ascii="FrankRuehl" w:hAnsi="FrankRuehl"/>
          <w:rtl/>
        </w:rPr>
        <w:t xml:space="preserve"> לה מה </w:t>
      </w:r>
      <w:proofErr w:type="spellStart"/>
      <w:r w:rsidRPr="0051679D">
        <w:rPr>
          <w:rFonts w:ascii="FrankRuehl" w:hAnsi="FrankRuehl"/>
          <w:rtl/>
        </w:rPr>
        <w:t>דהיא</w:t>
      </w:r>
      <w:proofErr w:type="spellEnd"/>
      <w:r w:rsidRPr="0051679D">
        <w:rPr>
          <w:rFonts w:ascii="FrankRuehl" w:hAnsi="FrankRuehl"/>
          <w:rtl/>
        </w:rPr>
        <w:t xml:space="preserve"> </w:t>
      </w:r>
      <w:proofErr w:type="spellStart"/>
      <w:r w:rsidRPr="0051679D">
        <w:rPr>
          <w:rFonts w:ascii="FrankRuehl" w:hAnsi="FrankRuehl"/>
          <w:rtl/>
        </w:rPr>
        <w:t>בעייא</w:t>
      </w:r>
      <w:proofErr w:type="spellEnd"/>
      <w:r w:rsidRPr="0051679D">
        <w:rPr>
          <w:rFonts w:ascii="FrankRuehl" w:hAnsi="FrankRuehl"/>
          <w:rtl/>
        </w:rPr>
        <w:t xml:space="preserve"> </w:t>
      </w:r>
      <w:proofErr w:type="spellStart"/>
      <w:r w:rsidRPr="0051679D">
        <w:rPr>
          <w:rFonts w:ascii="FrankRuehl" w:hAnsi="FrankRuehl"/>
          <w:rtl/>
        </w:rPr>
        <w:t>ותיזיל</w:t>
      </w:r>
      <w:proofErr w:type="spellEnd"/>
      <w:r w:rsidRPr="0051679D">
        <w:rPr>
          <w:rFonts w:ascii="FrankRuehl" w:hAnsi="FrankRuehl"/>
          <w:rtl/>
        </w:rPr>
        <w:t xml:space="preserve"> לה. ואימת דהות ההיא </w:t>
      </w:r>
      <w:proofErr w:type="spellStart"/>
      <w:r w:rsidRPr="0051679D">
        <w:rPr>
          <w:rFonts w:ascii="FrankRuehl" w:hAnsi="FrankRuehl"/>
          <w:b/>
          <w:bCs/>
          <w:rtl/>
        </w:rPr>
        <w:t>כשירתא</w:t>
      </w:r>
      <w:proofErr w:type="spellEnd"/>
      <w:r w:rsidRPr="0051679D">
        <w:rPr>
          <w:rFonts w:ascii="FrankRuehl" w:hAnsi="FrankRuehl"/>
          <w:rtl/>
        </w:rPr>
        <w:t xml:space="preserve"> </w:t>
      </w:r>
      <w:proofErr w:type="spellStart"/>
      <w:r w:rsidRPr="0051679D">
        <w:rPr>
          <w:rFonts w:ascii="FrankRuehl" w:hAnsi="FrankRuehl"/>
          <w:rtl/>
        </w:rPr>
        <w:t>עלת</w:t>
      </w:r>
      <w:proofErr w:type="spellEnd"/>
      <w:r w:rsidRPr="0051679D">
        <w:rPr>
          <w:rFonts w:ascii="FrankRuehl" w:hAnsi="FrankRuehl"/>
          <w:rtl/>
        </w:rPr>
        <w:t xml:space="preserve"> </w:t>
      </w:r>
      <w:proofErr w:type="spellStart"/>
      <w:r w:rsidRPr="0051679D">
        <w:rPr>
          <w:rFonts w:ascii="FrankRuehl" w:hAnsi="FrankRuehl"/>
          <w:rtl/>
        </w:rPr>
        <w:t>קומוי</w:t>
      </w:r>
      <w:proofErr w:type="spellEnd"/>
      <w:r w:rsidRPr="0051679D">
        <w:rPr>
          <w:rFonts w:ascii="FrankRuehl" w:hAnsi="FrankRuehl"/>
          <w:rtl/>
        </w:rPr>
        <w:t xml:space="preserve"> </w:t>
      </w:r>
      <w:proofErr w:type="spellStart"/>
      <w:r w:rsidRPr="0051679D">
        <w:rPr>
          <w:rFonts w:ascii="FrankRuehl" w:hAnsi="FrankRuehl"/>
          <w:rtl/>
        </w:rPr>
        <w:t>הוה</w:t>
      </w:r>
      <w:proofErr w:type="spellEnd"/>
      <w:r w:rsidRPr="0051679D">
        <w:rPr>
          <w:rFonts w:ascii="FrankRuehl" w:hAnsi="FrankRuehl"/>
          <w:rtl/>
        </w:rPr>
        <w:t xml:space="preserve"> מאריך </w:t>
      </w:r>
      <w:proofErr w:type="spellStart"/>
      <w:r w:rsidRPr="0051679D">
        <w:rPr>
          <w:rFonts w:ascii="FrankRuehl" w:hAnsi="FrankRuehl"/>
          <w:rtl/>
        </w:rPr>
        <w:t>רוחיה</w:t>
      </w:r>
      <w:proofErr w:type="spellEnd"/>
      <w:r w:rsidRPr="0051679D">
        <w:rPr>
          <w:rFonts w:ascii="FrankRuehl" w:hAnsi="FrankRuehl"/>
          <w:rtl/>
        </w:rPr>
        <w:t xml:space="preserve"> </w:t>
      </w:r>
      <w:proofErr w:type="spellStart"/>
      <w:r w:rsidRPr="0051679D">
        <w:rPr>
          <w:rFonts w:ascii="FrankRuehl" w:hAnsi="FrankRuehl"/>
          <w:rtl/>
        </w:rPr>
        <w:t>מתחמד</w:t>
      </w:r>
      <w:proofErr w:type="spellEnd"/>
      <w:r w:rsidRPr="0051679D">
        <w:rPr>
          <w:rFonts w:ascii="FrankRuehl" w:hAnsi="FrankRuehl"/>
          <w:rtl/>
        </w:rPr>
        <w:t xml:space="preserve"> </w:t>
      </w:r>
      <w:proofErr w:type="spellStart"/>
      <w:r w:rsidRPr="0051679D">
        <w:rPr>
          <w:rFonts w:ascii="FrankRuehl" w:hAnsi="FrankRuehl"/>
          <w:rtl/>
        </w:rPr>
        <w:t>מישמוע</w:t>
      </w:r>
      <w:proofErr w:type="spellEnd"/>
      <w:r w:rsidRPr="0051679D">
        <w:rPr>
          <w:rFonts w:ascii="FrankRuehl" w:hAnsi="FrankRuehl"/>
          <w:rtl/>
        </w:rPr>
        <w:t xml:space="preserve"> </w:t>
      </w:r>
      <w:proofErr w:type="spellStart"/>
      <w:r w:rsidRPr="0051679D">
        <w:rPr>
          <w:rFonts w:ascii="FrankRuehl" w:hAnsi="FrankRuehl"/>
          <w:rtl/>
        </w:rPr>
        <w:t>שועתה</w:t>
      </w:r>
      <w:proofErr w:type="spellEnd"/>
      <w:r w:rsidRPr="0051679D">
        <w:rPr>
          <w:rFonts w:ascii="FrankRuehl" w:hAnsi="FrankRuehl"/>
          <w:rtl/>
        </w:rPr>
        <w:t>.</w:t>
      </w:r>
    </w:p>
    <w:p w:rsidR="00FE148D" w:rsidRPr="0051679D" w:rsidRDefault="00FE148D" w:rsidP="0051679D">
      <w:pPr>
        <w:spacing w:line="360" w:lineRule="auto"/>
        <w:jc w:val="both"/>
        <w:rPr>
          <w:rFonts w:ascii="FrankRuehl" w:hAnsi="FrankRuehl"/>
          <w:rtl/>
        </w:rPr>
      </w:pPr>
      <w:r w:rsidRPr="0051679D">
        <w:rPr>
          <w:rFonts w:ascii="FrankRuehl" w:hAnsi="FrankRuehl"/>
          <w:b/>
          <w:bCs/>
          <w:rtl/>
        </w:rPr>
        <w:t>תרגום:</w:t>
      </w:r>
      <w:r w:rsidRPr="0051679D">
        <w:rPr>
          <w:rFonts w:ascii="FrankRuehl" w:hAnsi="FrankRuehl"/>
          <w:rtl/>
        </w:rPr>
        <w:t xml:space="preserve"> ר' אליעזר עשה תענית ולא ירדו גשמים, עשה ר' עקיבא תענית וירדו גשמים. נכנס ר' עקיבא לבית המדרש ואמר לפניהם: אמשול לכם משל למה הדבר דומה, למלך שהיו לו שתי בנות אחת </w:t>
      </w:r>
      <w:r w:rsidRPr="0051679D">
        <w:rPr>
          <w:rFonts w:ascii="FrankRuehl" w:hAnsi="FrankRuehl"/>
          <w:b/>
          <w:bCs/>
          <w:rtl/>
        </w:rPr>
        <w:t>חצופה</w:t>
      </w:r>
      <w:r w:rsidRPr="0051679D">
        <w:rPr>
          <w:rFonts w:ascii="FrankRuehl" w:hAnsi="FrankRuehl"/>
          <w:rtl/>
        </w:rPr>
        <w:t xml:space="preserve"> ואחת </w:t>
      </w:r>
      <w:r w:rsidRPr="0051679D">
        <w:rPr>
          <w:rFonts w:ascii="FrankRuehl" w:hAnsi="FrankRuehl"/>
          <w:b/>
          <w:bCs/>
          <w:rtl/>
        </w:rPr>
        <w:t>כשירה</w:t>
      </w:r>
      <w:r w:rsidRPr="0051679D">
        <w:rPr>
          <w:rFonts w:ascii="FrankRuehl" w:hAnsi="FrankRuehl"/>
          <w:rtl/>
        </w:rPr>
        <w:t xml:space="preserve">. כל זמן </w:t>
      </w:r>
      <w:proofErr w:type="spellStart"/>
      <w:r w:rsidRPr="0051679D">
        <w:rPr>
          <w:rFonts w:ascii="FrankRuehl" w:hAnsi="FrankRuehl"/>
          <w:rtl/>
        </w:rPr>
        <w:t>שהיתה</w:t>
      </w:r>
      <w:proofErr w:type="spellEnd"/>
      <w:r w:rsidRPr="0051679D">
        <w:rPr>
          <w:rFonts w:ascii="FrankRuehl" w:hAnsi="FrankRuehl"/>
          <w:rtl/>
        </w:rPr>
        <w:t xml:space="preserve"> רוצה החצופה דבר מהמלך - </w:t>
      </w:r>
      <w:proofErr w:type="spellStart"/>
      <w:r w:rsidRPr="0051679D">
        <w:rPr>
          <w:rFonts w:ascii="FrankRuehl" w:hAnsi="FrankRuehl"/>
          <w:rtl/>
        </w:rPr>
        <w:t>היתה</w:t>
      </w:r>
      <w:proofErr w:type="spellEnd"/>
      <w:r w:rsidRPr="0051679D">
        <w:rPr>
          <w:rFonts w:ascii="FrankRuehl" w:hAnsi="FrankRuehl"/>
          <w:rtl/>
        </w:rPr>
        <w:t xml:space="preserve"> באה לפניו, היה אומר המלך: הביאו לה את רצונה ותלך לה. וכאשר </w:t>
      </w:r>
      <w:proofErr w:type="spellStart"/>
      <w:r w:rsidRPr="0051679D">
        <w:rPr>
          <w:rFonts w:ascii="FrankRuehl" w:hAnsi="FrankRuehl"/>
          <w:rtl/>
        </w:rPr>
        <w:t>היתה</w:t>
      </w:r>
      <w:proofErr w:type="spellEnd"/>
      <w:r w:rsidRPr="0051679D">
        <w:rPr>
          <w:rFonts w:ascii="FrankRuehl" w:hAnsi="FrankRuehl"/>
          <w:rtl/>
        </w:rPr>
        <w:t xml:space="preserve"> רוצה הכשירה דבר מהמלך - </w:t>
      </w:r>
      <w:proofErr w:type="spellStart"/>
      <w:r w:rsidRPr="0051679D">
        <w:rPr>
          <w:rFonts w:ascii="FrankRuehl" w:hAnsi="FrankRuehl"/>
          <w:rtl/>
        </w:rPr>
        <w:t>היתה</w:t>
      </w:r>
      <w:proofErr w:type="spellEnd"/>
      <w:r w:rsidRPr="0051679D">
        <w:rPr>
          <w:rFonts w:ascii="FrankRuehl" w:hAnsi="FrankRuehl"/>
          <w:rtl/>
        </w:rPr>
        <w:t xml:space="preserve"> באה לפניו, והיה המלך מאריך אפו שהיה </w:t>
      </w:r>
      <w:proofErr w:type="spellStart"/>
      <w:r w:rsidRPr="0051679D">
        <w:rPr>
          <w:rFonts w:ascii="FrankRuehl" w:hAnsi="FrankRuehl"/>
          <w:rtl/>
        </w:rPr>
        <w:t>מתאוה</w:t>
      </w:r>
      <w:proofErr w:type="spellEnd"/>
      <w:r w:rsidRPr="0051679D">
        <w:rPr>
          <w:rFonts w:ascii="FrankRuehl" w:hAnsi="FrankRuehl"/>
          <w:rtl/>
        </w:rPr>
        <w:t xml:space="preserve"> לשמוע </w:t>
      </w:r>
      <w:proofErr w:type="spellStart"/>
      <w:r w:rsidRPr="0051679D">
        <w:rPr>
          <w:rFonts w:ascii="FrankRuehl" w:hAnsi="FrankRuehl"/>
          <w:rtl/>
        </w:rPr>
        <w:t>שועתה</w:t>
      </w:r>
      <w:proofErr w:type="spellEnd"/>
      <w:r w:rsidRPr="0051679D">
        <w:rPr>
          <w:rFonts w:ascii="FrankRuehl" w:hAnsi="FrankRuehl"/>
          <w:rtl/>
        </w:rPr>
        <w:t>.</w:t>
      </w:r>
    </w:p>
    <w:p w:rsidR="00FE148D" w:rsidRDefault="00FE148D" w:rsidP="0051679D">
      <w:pPr>
        <w:pStyle w:val="ad"/>
        <w:rPr>
          <w:rFonts w:ascii="FrankRuehl" w:hAnsi="FrankRuehl" w:cs="FrankRuehl"/>
          <w:sz w:val="22"/>
          <w:szCs w:val="22"/>
          <w:rtl/>
        </w:rPr>
      </w:pPr>
    </w:p>
    <w:p w:rsidR="00F016BD" w:rsidRDefault="00F016BD" w:rsidP="00F016BD">
      <w:pPr>
        <w:pStyle w:val="ad"/>
        <w:rPr>
          <w:rFonts w:ascii="FrankRuehl" w:hAnsi="FrankRuehl" w:cs="FrankRuehl"/>
          <w:sz w:val="22"/>
          <w:szCs w:val="22"/>
          <w:rtl/>
        </w:rPr>
      </w:pPr>
      <w:r w:rsidRPr="00F016BD">
        <w:rPr>
          <w:rFonts w:ascii="FrankRuehl" w:hAnsi="FrankRuehl" w:cs="FrankRuehl"/>
          <w:b/>
          <w:bCs/>
          <w:sz w:val="22"/>
          <w:szCs w:val="22"/>
          <w:rtl/>
        </w:rPr>
        <w:t xml:space="preserve">ליקוטי </w:t>
      </w:r>
      <w:proofErr w:type="spellStart"/>
      <w:r w:rsidRPr="00F016BD">
        <w:rPr>
          <w:rFonts w:ascii="FrankRuehl" w:hAnsi="FrankRuehl" w:cs="FrankRuehl"/>
          <w:b/>
          <w:bCs/>
          <w:sz w:val="22"/>
          <w:szCs w:val="22"/>
          <w:rtl/>
        </w:rPr>
        <w:t>מוהר"ן</w:t>
      </w:r>
      <w:proofErr w:type="spellEnd"/>
      <w:r w:rsidRPr="00F016BD">
        <w:rPr>
          <w:rFonts w:ascii="FrankRuehl" w:hAnsi="FrankRuehl" w:cs="FrankRuehl"/>
          <w:b/>
          <w:bCs/>
          <w:sz w:val="22"/>
          <w:szCs w:val="22"/>
          <w:rtl/>
        </w:rPr>
        <w:t xml:space="preserve"> - </w:t>
      </w:r>
      <w:proofErr w:type="spellStart"/>
      <w:r w:rsidRPr="00F016BD">
        <w:rPr>
          <w:rFonts w:ascii="FrankRuehl" w:hAnsi="FrankRuehl" w:cs="FrankRuehl"/>
          <w:b/>
          <w:bCs/>
          <w:sz w:val="22"/>
          <w:szCs w:val="22"/>
          <w:rtl/>
        </w:rPr>
        <w:t>מהדורא</w:t>
      </w:r>
      <w:proofErr w:type="spellEnd"/>
      <w:r w:rsidRPr="00F016BD">
        <w:rPr>
          <w:rFonts w:ascii="FrankRuehl" w:hAnsi="FrankRuehl" w:cs="FrankRuehl"/>
          <w:b/>
          <w:bCs/>
          <w:sz w:val="22"/>
          <w:szCs w:val="22"/>
          <w:rtl/>
        </w:rPr>
        <w:t xml:space="preserve"> קמא</w:t>
      </w:r>
      <w:r w:rsidRPr="00F016BD">
        <w:rPr>
          <w:rFonts w:ascii="FrankRuehl" w:hAnsi="FrankRuehl" w:cs="FrankRuehl" w:hint="cs"/>
          <w:b/>
          <w:bCs/>
          <w:sz w:val="22"/>
          <w:szCs w:val="22"/>
          <w:rtl/>
        </w:rPr>
        <w:t>,</w:t>
      </w:r>
      <w:r w:rsidRPr="00F016BD">
        <w:rPr>
          <w:rFonts w:ascii="FrankRuehl" w:hAnsi="FrankRuehl" w:cs="FrankRuehl"/>
          <w:b/>
          <w:bCs/>
          <w:sz w:val="22"/>
          <w:szCs w:val="22"/>
          <w:rtl/>
        </w:rPr>
        <w:t xml:space="preserve"> </w:t>
      </w:r>
      <w:proofErr w:type="spellStart"/>
      <w:r w:rsidRPr="00F016BD">
        <w:rPr>
          <w:rFonts w:ascii="FrankRuehl" w:hAnsi="FrankRuehl" w:cs="FrankRuehl"/>
          <w:b/>
          <w:bCs/>
          <w:sz w:val="22"/>
          <w:szCs w:val="22"/>
          <w:rtl/>
        </w:rPr>
        <w:t>קכד</w:t>
      </w:r>
      <w:proofErr w:type="spellEnd"/>
      <w:r>
        <w:rPr>
          <w:rFonts w:ascii="FrankRuehl" w:hAnsi="FrankRuehl" w:cs="FrankRuehl" w:hint="cs"/>
          <w:sz w:val="22"/>
          <w:szCs w:val="22"/>
          <w:rtl/>
        </w:rPr>
        <w:t xml:space="preserve">: </w:t>
      </w:r>
      <w:r w:rsidRPr="00F016BD">
        <w:rPr>
          <w:rFonts w:ascii="FrankRuehl" w:hAnsi="FrankRuehl" w:cs="FrankRuehl"/>
          <w:sz w:val="22"/>
          <w:szCs w:val="22"/>
          <w:rtl/>
        </w:rPr>
        <w:t xml:space="preserve">שִׁיר מִזְמוֹר לַמְנַצֵּחַ, 'זַמְּרוּ לְמִי </w:t>
      </w:r>
      <w:proofErr w:type="spellStart"/>
      <w:r w:rsidRPr="00F016BD">
        <w:rPr>
          <w:rFonts w:ascii="FrankRuehl" w:hAnsi="FrankRuehl" w:cs="FrankRuehl"/>
          <w:sz w:val="22"/>
          <w:szCs w:val="22"/>
          <w:rtl/>
        </w:rPr>
        <w:t>שֶׁמְּנַצְּחִין</w:t>
      </w:r>
      <w:proofErr w:type="spellEnd"/>
      <w:r w:rsidRPr="00F016BD">
        <w:rPr>
          <w:rFonts w:ascii="FrankRuehl" w:hAnsi="FrankRuehl" w:cs="FrankRuehl"/>
          <w:sz w:val="22"/>
          <w:szCs w:val="22"/>
          <w:rtl/>
        </w:rPr>
        <w:t xml:space="preserve"> אוֹתוֹ וְשָׂמֵחַ' (פְּסָחִים קיט). כִּי כְּשֶׁמְּדַבֵּר לִפְנֵי הַקָּדוֹשׁ - בָּרוּךְ - הוּא וּמְפָרֵשׁ שִׂיחָתוֹ בִּטְעָנוֹת וּבַקָּשׁוֹת, רוֹצֶה לְנַצֵּחַ אֶת הַקָּדוֹשׁ - בָּרוּךְ - הוּא כִּבְיָכוֹל, וְהַשֵּׁם יִתְבָּרַךְ יֵשׁ לוֹ תַּעֲנוּג מִזֶּה. עַל כֵּן שׁוֹלֵחַ לוֹ דִּבּוּרִים שֶׁיּוּכַל לְנַצֵּחַ אוֹתוֹ כִּבְיָכוֹל, כְּדֵי לְקַבֵּל הַתַּעֲנוּג. כִּי בְּלֹא זֶה </w:t>
      </w:r>
      <w:proofErr w:type="spellStart"/>
      <w:r w:rsidRPr="00F016BD">
        <w:rPr>
          <w:rFonts w:ascii="FrankRuehl" w:hAnsi="FrankRuehl" w:cs="FrankRuehl"/>
          <w:sz w:val="22"/>
          <w:szCs w:val="22"/>
          <w:rtl/>
        </w:rPr>
        <w:t>בְּוַדַּאי</w:t>
      </w:r>
      <w:proofErr w:type="spellEnd"/>
      <w:r w:rsidRPr="00F016BD">
        <w:rPr>
          <w:rFonts w:ascii="FrankRuehl" w:hAnsi="FrankRuehl" w:cs="FrankRuehl"/>
          <w:sz w:val="22"/>
          <w:szCs w:val="22"/>
          <w:rtl/>
        </w:rPr>
        <w:t xml:space="preserve"> לֹא הָיָה אֶפְשָׁר לְבָשָׂר וָדָם לְנַצֵּחַ אֶת הַקָּדוֹשׁ - בָּרוּךְ - הוּא, אַךְ הַשֵּׁם יִתְבָּרַךְ עַצְמוֹ שׁוֹלֵחַ וּמַזְמִין לוֹ דִּבּוּרִים וּטְעָנוֹת לְנַצֵּחַ אוֹתוֹ כַּנַּ"ל:</w:t>
      </w:r>
    </w:p>
    <w:p w:rsidR="00F016BD" w:rsidRDefault="00F016BD" w:rsidP="00F016BD">
      <w:pPr>
        <w:pStyle w:val="ad"/>
        <w:rPr>
          <w:rFonts w:ascii="FrankRuehl" w:hAnsi="FrankRuehl" w:cs="FrankRuehl"/>
          <w:sz w:val="22"/>
          <w:szCs w:val="22"/>
          <w:rtl/>
        </w:rPr>
      </w:pPr>
    </w:p>
    <w:p w:rsidR="00F016BD" w:rsidRPr="00F016BD" w:rsidRDefault="00F016BD" w:rsidP="00F016BD">
      <w:pPr>
        <w:pStyle w:val="ad"/>
        <w:rPr>
          <w:rFonts w:ascii="FrankRuehl" w:hAnsi="FrankRuehl" w:cs="FrankRuehl"/>
          <w:sz w:val="22"/>
          <w:szCs w:val="22"/>
          <w:rtl/>
        </w:rPr>
      </w:pPr>
    </w:p>
    <w:p w:rsidR="00F016BD" w:rsidRDefault="00F016BD" w:rsidP="00F016BD">
      <w:pPr>
        <w:pStyle w:val="ad"/>
        <w:rPr>
          <w:rFonts w:ascii="FrankRuehl" w:hAnsi="FrankRuehl" w:cs="FrankRuehl"/>
          <w:sz w:val="22"/>
          <w:szCs w:val="22"/>
          <w:rtl/>
        </w:rPr>
      </w:pPr>
      <w:r w:rsidRPr="00F016BD">
        <w:rPr>
          <w:rFonts w:ascii="FrankRuehl" w:hAnsi="FrankRuehl" w:cs="FrankRuehl" w:hint="cs"/>
          <w:b/>
          <w:bCs/>
          <w:sz w:val="22"/>
          <w:szCs w:val="22"/>
          <w:rtl/>
        </w:rPr>
        <w:t xml:space="preserve">שיחות </w:t>
      </w:r>
      <w:proofErr w:type="spellStart"/>
      <w:r w:rsidRPr="00F016BD">
        <w:rPr>
          <w:rFonts w:ascii="FrankRuehl" w:hAnsi="FrankRuehl" w:cs="FrankRuehl" w:hint="cs"/>
          <w:b/>
          <w:bCs/>
          <w:sz w:val="22"/>
          <w:szCs w:val="22"/>
          <w:rtl/>
        </w:rPr>
        <w:t>הר"ן</w:t>
      </w:r>
      <w:proofErr w:type="spellEnd"/>
      <w:r w:rsidRPr="00F016BD">
        <w:rPr>
          <w:rFonts w:ascii="FrankRuehl" w:hAnsi="FrankRuehl" w:cs="FrankRuehl" w:hint="cs"/>
          <w:b/>
          <w:bCs/>
          <w:sz w:val="22"/>
          <w:szCs w:val="22"/>
          <w:rtl/>
        </w:rPr>
        <w:t>, סט</w:t>
      </w:r>
      <w:r>
        <w:rPr>
          <w:rFonts w:ascii="FrankRuehl" w:hAnsi="FrankRuehl" w:cs="FrankRuehl" w:hint="cs"/>
          <w:sz w:val="22"/>
          <w:szCs w:val="22"/>
          <w:rtl/>
        </w:rPr>
        <w:t xml:space="preserve">: </w:t>
      </w:r>
      <w:r w:rsidRPr="00F016BD">
        <w:rPr>
          <w:rFonts w:ascii="FrankRuehl" w:hAnsi="FrankRuehl" w:cs="FrankRuehl"/>
          <w:sz w:val="22"/>
          <w:szCs w:val="22"/>
          <w:rtl/>
        </w:rPr>
        <w:t xml:space="preserve">"זמרו למי </w:t>
      </w:r>
      <w:proofErr w:type="spellStart"/>
      <w:r w:rsidRPr="00F016BD">
        <w:rPr>
          <w:rFonts w:ascii="FrankRuehl" w:hAnsi="FrankRuehl" w:cs="FrankRuehl"/>
          <w:sz w:val="22"/>
          <w:szCs w:val="22"/>
          <w:rtl/>
        </w:rPr>
        <w:t>שמנצחין</w:t>
      </w:r>
      <w:proofErr w:type="spellEnd"/>
      <w:r w:rsidRPr="00F016BD">
        <w:rPr>
          <w:rFonts w:ascii="FrankRuehl" w:hAnsi="FrankRuehl" w:cs="FrankRuehl"/>
          <w:sz w:val="22"/>
          <w:szCs w:val="22"/>
          <w:rtl/>
        </w:rPr>
        <w:t xml:space="preserve"> אותו ושמח" (פסחים קיט.) כי </w:t>
      </w:r>
      <w:proofErr w:type="spellStart"/>
      <w:r w:rsidRPr="00F016BD">
        <w:rPr>
          <w:rFonts w:ascii="FrankRuehl" w:hAnsi="FrankRuehl" w:cs="FrankRuehl"/>
          <w:sz w:val="22"/>
          <w:szCs w:val="22"/>
          <w:rtl/>
        </w:rPr>
        <w:t>צריכין</w:t>
      </w:r>
      <w:proofErr w:type="spellEnd"/>
      <w:r w:rsidRPr="00F016BD">
        <w:rPr>
          <w:rFonts w:ascii="FrankRuehl" w:hAnsi="FrankRuehl" w:cs="FrankRuehl"/>
          <w:sz w:val="22"/>
          <w:szCs w:val="22"/>
          <w:rtl/>
        </w:rPr>
        <w:t xml:space="preserve"> לנצח אותו יתברך כביכול. כי אף על פי שנדמה </w:t>
      </w:r>
      <w:proofErr w:type="spellStart"/>
      <w:r w:rsidRPr="00F016BD">
        <w:rPr>
          <w:rFonts w:ascii="FrankRuehl" w:hAnsi="FrankRuehl" w:cs="FrankRuehl"/>
          <w:sz w:val="22"/>
          <w:szCs w:val="22"/>
          <w:rtl/>
        </w:rPr>
        <w:t>להאדם</w:t>
      </w:r>
      <w:proofErr w:type="spellEnd"/>
      <w:r w:rsidRPr="00F016BD">
        <w:rPr>
          <w:rFonts w:ascii="FrankRuehl" w:hAnsi="FrankRuehl" w:cs="FrankRuehl"/>
          <w:sz w:val="22"/>
          <w:szCs w:val="22"/>
          <w:rtl/>
        </w:rPr>
        <w:t xml:space="preserve"> שהשם יתברך אינו רוצה לקרבו מחמת שקלקל הרבה, וגם </w:t>
      </w:r>
      <w:proofErr w:type="spellStart"/>
      <w:r w:rsidRPr="00F016BD">
        <w:rPr>
          <w:rFonts w:ascii="FrankRuehl" w:hAnsi="FrankRuehl" w:cs="FrankRuehl"/>
          <w:sz w:val="22"/>
          <w:szCs w:val="22"/>
          <w:rtl/>
        </w:rPr>
        <w:t>עכשו</w:t>
      </w:r>
      <w:proofErr w:type="spellEnd"/>
      <w:r w:rsidRPr="00F016BD">
        <w:rPr>
          <w:rFonts w:ascii="FrankRuehl" w:hAnsi="FrankRuehl" w:cs="FrankRuehl"/>
          <w:sz w:val="22"/>
          <w:szCs w:val="22"/>
          <w:rtl/>
        </w:rPr>
        <w:t xml:space="preserve"> אינו מתנהג כראוי כרצונו יתברך, אף על פי כן צריך האדם לחזק עצמו ביותר ולהשתטח עצמו לפניו ולפרש כפיו אליו יתברך שירחם עליו ויקרבהו לעבודתו כי אף על פי כן אני רוצה להיות ישראלי. נמצא שרוצה לנצח את השם יתברך </w:t>
      </w:r>
      <w:r w:rsidRPr="00F016BD">
        <w:rPr>
          <w:rFonts w:ascii="FrankRuehl" w:hAnsi="FrankRuehl" w:cs="FrankRuehl"/>
          <w:sz w:val="22"/>
          <w:szCs w:val="22"/>
          <w:rtl/>
        </w:rPr>
        <w:t xml:space="preserve">כביכול, והשם יתברך יש לו שמחה מזה </w:t>
      </w:r>
      <w:proofErr w:type="spellStart"/>
      <w:r w:rsidRPr="00F016BD">
        <w:rPr>
          <w:rFonts w:ascii="FrankRuehl" w:hAnsi="FrankRuehl" w:cs="FrankRuehl"/>
          <w:sz w:val="22"/>
          <w:szCs w:val="22"/>
          <w:rtl/>
        </w:rPr>
        <w:t>שמנצחין</w:t>
      </w:r>
      <w:proofErr w:type="spellEnd"/>
      <w:r w:rsidRPr="00F016BD">
        <w:rPr>
          <w:rFonts w:ascii="FrankRuehl" w:hAnsi="FrankRuehl" w:cs="FrankRuehl"/>
          <w:sz w:val="22"/>
          <w:szCs w:val="22"/>
          <w:rtl/>
        </w:rPr>
        <w:t xml:space="preserve"> אותו כביכול:</w:t>
      </w:r>
    </w:p>
    <w:p w:rsidR="00F016BD" w:rsidRPr="0051679D" w:rsidRDefault="00F016BD" w:rsidP="0051679D">
      <w:pPr>
        <w:pStyle w:val="ad"/>
        <w:rPr>
          <w:rFonts w:ascii="FrankRuehl" w:hAnsi="FrankRuehl" w:cs="FrankRuehl"/>
          <w:sz w:val="22"/>
          <w:szCs w:val="22"/>
          <w:rtl/>
        </w:rPr>
      </w:pPr>
    </w:p>
    <w:p w:rsidR="00FE148D" w:rsidRPr="0051679D" w:rsidRDefault="00FE148D" w:rsidP="0051679D">
      <w:pPr>
        <w:pStyle w:val="ad"/>
        <w:rPr>
          <w:rFonts w:ascii="FrankRuehl" w:hAnsi="FrankRuehl" w:cs="FrankRuehl"/>
          <w:sz w:val="22"/>
          <w:szCs w:val="22"/>
          <w:rtl/>
        </w:rPr>
      </w:pPr>
      <w:r w:rsidRPr="0051679D">
        <w:rPr>
          <w:rFonts w:ascii="FrankRuehl" w:hAnsi="FrankRuehl" w:cs="FrankRuehl"/>
          <w:b/>
          <w:bCs/>
          <w:sz w:val="22"/>
          <w:szCs w:val="22"/>
          <w:rtl/>
        </w:rPr>
        <w:t>א"א אורבך, מעולמם של חכמים, הוצאת מאגנס, ירושלים, מהדורה שניה תשס"ב, עמ' 556-560</w:t>
      </w:r>
      <w:r w:rsidR="003F3880" w:rsidRPr="0051679D">
        <w:rPr>
          <w:rFonts w:ascii="FrankRuehl" w:hAnsi="FrankRuehl" w:cs="FrankRuehl"/>
          <w:sz w:val="22"/>
          <w:szCs w:val="22"/>
          <w:rtl/>
        </w:rPr>
        <w:t xml:space="preserve">: </w:t>
      </w:r>
      <w:r w:rsidRPr="0051679D">
        <w:rPr>
          <w:rFonts w:ascii="FrankRuehl" w:hAnsi="FrankRuehl" w:cs="FrankRuehl"/>
          <w:sz w:val="22"/>
          <w:szCs w:val="22"/>
          <w:rtl/>
        </w:rPr>
        <w:t xml:space="preserve">בבשורות של 'הברית החדשה' משמשת תשובת אנשי </w:t>
      </w:r>
      <w:proofErr w:type="spellStart"/>
      <w:r w:rsidRPr="0051679D">
        <w:rPr>
          <w:rFonts w:ascii="FrankRuehl" w:hAnsi="FrankRuehl" w:cs="FrankRuehl"/>
          <w:sz w:val="22"/>
          <w:szCs w:val="22"/>
          <w:rtl/>
        </w:rPr>
        <w:t>נינוה</w:t>
      </w:r>
      <w:proofErr w:type="spellEnd"/>
      <w:r w:rsidRPr="0051679D">
        <w:rPr>
          <w:rFonts w:ascii="FrankRuehl" w:hAnsi="FrankRuehl" w:cs="FrankRuehl"/>
          <w:sz w:val="22"/>
          <w:szCs w:val="22"/>
          <w:rtl/>
        </w:rPr>
        <w:t xml:space="preserve"> תוכחה לישראל: "אנשי </w:t>
      </w:r>
      <w:proofErr w:type="spellStart"/>
      <w:r w:rsidRPr="0051679D">
        <w:rPr>
          <w:rFonts w:ascii="FrankRuehl" w:hAnsi="FrankRuehl" w:cs="FrankRuehl"/>
          <w:sz w:val="22"/>
          <w:szCs w:val="22"/>
          <w:rtl/>
        </w:rPr>
        <w:t>נינוה</w:t>
      </w:r>
      <w:proofErr w:type="spellEnd"/>
      <w:r w:rsidRPr="0051679D">
        <w:rPr>
          <w:rFonts w:ascii="FrankRuehl" w:hAnsi="FrankRuehl" w:cs="FrankRuehl"/>
          <w:sz w:val="22"/>
          <w:szCs w:val="22"/>
          <w:rtl/>
        </w:rPr>
        <w:t xml:space="preserve"> יופיעו ביום הדין יחד עם בני הדור הזה ויחייבו אותם כי הם עשו תשובה אחרי נבואת יונה, והרי כאן יותר מיונה". תוכחה דומה אנו מוצאים במדרש: "העיר היונה, לא היה לה ללמוד מעירו של יונה מנינוה נביא אחד שלחתי </w:t>
      </w:r>
      <w:proofErr w:type="spellStart"/>
      <w:r w:rsidRPr="0051679D">
        <w:rPr>
          <w:rFonts w:ascii="FrankRuehl" w:hAnsi="FrankRuehl" w:cs="FrankRuehl"/>
          <w:sz w:val="22"/>
          <w:szCs w:val="22"/>
          <w:rtl/>
        </w:rPr>
        <w:t>לנינוה</w:t>
      </w:r>
      <w:proofErr w:type="spellEnd"/>
      <w:r w:rsidRPr="0051679D">
        <w:rPr>
          <w:rFonts w:ascii="FrankRuehl" w:hAnsi="FrankRuehl" w:cs="FrankRuehl"/>
          <w:sz w:val="22"/>
          <w:szCs w:val="22"/>
          <w:rtl/>
        </w:rPr>
        <w:t xml:space="preserve"> והחזירה בתשובה ואילו ישראל בירושלים כמה נביאים שלחתי אליהם". הדרשה הנוצרית נאחזה בדרשה היהודית... והתאימה אותה לצרכיה. </w:t>
      </w:r>
    </w:p>
    <w:p w:rsidR="00FE148D" w:rsidRPr="0051679D" w:rsidRDefault="00FE148D" w:rsidP="0051679D">
      <w:pPr>
        <w:pStyle w:val="ad"/>
        <w:rPr>
          <w:rFonts w:ascii="FrankRuehl" w:hAnsi="FrankRuehl" w:cs="FrankRuehl"/>
          <w:sz w:val="22"/>
          <w:szCs w:val="22"/>
          <w:rtl/>
        </w:rPr>
      </w:pPr>
      <w:r w:rsidRPr="0051679D">
        <w:rPr>
          <w:rFonts w:ascii="FrankRuehl" w:hAnsi="FrankRuehl" w:cs="FrankRuehl"/>
          <w:sz w:val="22"/>
          <w:szCs w:val="22"/>
          <w:rtl/>
        </w:rPr>
        <w:t xml:space="preserve">הגויים שמעו לקולו של יונה, לא כן ישראל. הם גם עתידים לסרב לשמוע לקולו של בן האדם בה בשעה שדבריו יתקבלו על ידי </w:t>
      </w:r>
      <w:proofErr w:type="spellStart"/>
      <w:r w:rsidRPr="0051679D">
        <w:rPr>
          <w:rFonts w:ascii="FrankRuehl" w:hAnsi="FrankRuehl" w:cs="FrankRuehl"/>
          <w:sz w:val="22"/>
          <w:szCs w:val="22"/>
          <w:rtl/>
        </w:rPr>
        <w:t>הגוים</w:t>
      </w:r>
      <w:proofErr w:type="spellEnd"/>
      <w:r w:rsidRPr="0051679D">
        <w:rPr>
          <w:rFonts w:ascii="FrankRuehl" w:hAnsi="FrankRuehl" w:cs="FrankRuehl"/>
          <w:sz w:val="22"/>
          <w:szCs w:val="22"/>
          <w:rtl/>
        </w:rPr>
        <w:t xml:space="preserve">, "כי כאשר היה יונה לאות לאנשי </w:t>
      </w:r>
      <w:proofErr w:type="spellStart"/>
      <w:r w:rsidRPr="0051679D">
        <w:rPr>
          <w:rFonts w:ascii="FrankRuehl" w:hAnsi="FrankRuehl" w:cs="FrankRuehl"/>
          <w:sz w:val="22"/>
          <w:szCs w:val="22"/>
          <w:rtl/>
        </w:rPr>
        <w:t>נינוה</w:t>
      </w:r>
      <w:proofErr w:type="spellEnd"/>
      <w:r w:rsidRPr="0051679D">
        <w:rPr>
          <w:rFonts w:ascii="FrankRuehl" w:hAnsi="FrankRuehl" w:cs="FrankRuehl"/>
          <w:sz w:val="22"/>
          <w:szCs w:val="22"/>
          <w:rtl/>
        </w:rPr>
        <w:t xml:space="preserve"> כן יהי גם בן האדם לדור הזה". אין פלא כי אבות </w:t>
      </w:r>
      <w:proofErr w:type="spellStart"/>
      <w:r w:rsidRPr="0051679D">
        <w:rPr>
          <w:rFonts w:ascii="FrankRuehl" w:hAnsi="FrankRuehl" w:cs="FrankRuehl"/>
          <w:sz w:val="22"/>
          <w:szCs w:val="22"/>
          <w:rtl/>
        </w:rPr>
        <w:t>הכנסיה</w:t>
      </w:r>
      <w:proofErr w:type="spellEnd"/>
      <w:r w:rsidRPr="0051679D">
        <w:rPr>
          <w:rFonts w:ascii="FrankRuehl" w:hAnsi="FrankRuehl" w:cs="FrankRuehl"/>
          <w:sz w:val="22"/>
          <w:szCs w:val="22"/>
          <w:rtl/>
        </w:rPr>
        <w:t xml:space="preserve"> ניצלו את החומר הידוע להם ממקורות ישראל המהפך בזכותם של אנשי </w:t>
      </w:r>
      <w:proofErr w:type="spellStart"/>
      <w:r w:rsidRPr="0051679D">
        <w:rPr>
          <w:rFonts w:ascii="FrankRuehl" w:hAnsi="FrankRuehl" w:cs="FrankRuehl"/>
          <w:sz w:val="22"/>
          <w:szCs w:val="22"/>
          <w:rtl/>
        </w:rPr>
        <w:t>נינוה</w:t>
      </w:r>
      <w:proofErr w:type="spellEnd"/>
      <w:r w:rsidRPr="0051679D">
        <w:rPr>
          <w:rFonts w:ascii="FrankRuehl" w:hAnsi="FrankRuehl" w:cs="FrankRuehl"/>
          <w:sz w:val="22"/>
          <w:szCs w:val="22"/>
          <w:rtl/>
        </w:rPr>
        <w:t xml:space="preserve"> ובזכות תשובתם.</w:t>
      </w:r>
    </w:p>
    <w:p w:rsidR="00FE148D" w:rsidRPr="0051679D" w:rsidRDefault="00FE148D" w:rsidP="0051679D">
      <w:pPr>
        <w:spacing w:line="360" w:lineRule="auto"/>
        <w:jc w:val="both"/>
        <w:rPr>
          <w:rFonts w:ascii="FrankRuehl" w:hAnsi="FrankRuehl"/>
          <w:rtl/>
        </w:rPr>
      </w:pPr>
      <w:r w:rsidRPr="0051679D">
        <w:rPr>
          <w:rFonts w:ascii="FrankRuehl" w:hAnsi="FrankRuehl"/>
          <w:rtl/>
        </w:rPr>
        <w:t xml:space="preserve">באמצע המאה הרביעית היה מצב הנוצרים תחת שלטונם של הפרסים בכי רע. הנוצרים במזרח היו מושפעים מתורת ישראל וקיימו את מצוות היהדות, ביקרו בבתי הכנסת ושמרו את חגי ישראל... בעיני היהדות הבבלית </w:t>
      </w:r>
      <w:proofErr w:type="spellStart"/>
      <w:r w:rsidRPr="0051679D">
        <w:rPr>
          <w:rFonts w:ascii="FrankRuehl" w:hAnsi="FrankRuehl"/>
          <w:rtl/>
        </w:rPr>
        <w:t>היתה</w:t>
      </w:r>
      <w:proofErr w:type="spellEnd"/>
      <w:r w:rsidRPr="0051679D">
        <w:rPr>
          <w:rFonts w:ascii="FrankRuehl" w:hAnsi="FrankRuehl"/>
          <w:rtl/>
        </w:rPr>
        <w:t xml:space="preserve"> הנצרות גורם בלתי חשוב ומשום כך </w:t>
      </w:r>
      <w:proofErr w:type="spellStart"/>
      <w:r w:rsidRPr="0051679D">
        <w:rPr>
          <w:rFonts w:ascii="FrankRuehl" w:hAnsi="FrankRuehl"/>
          <w:rtl/>
        </w:rPr>
        <w:t>היתה</w:t>
      </w:r>
      <w:proofErr w:type="spellEnd"/>
      <w:r w:rsidRPr="0051679D">
        <w:rPr>
          <w:rFonts w:ascii="FrankRuehl" w:hAnsi="FrankRuehl"/>
          <w:rtl/>
        </w:rPr>
        <w:t xml:space="preserve"> גם האגדה הבבלית פטורה מחובת </w:t>
      </w:r>
      <w:proofErr w:type="spellStart"/>
      <w:r w:rsidRPr="0051679D">
        <w:rPr>
          <w:rFonts w:ascii="FrankRuehl" w:hAnsi="FrankRuehl"/>
          <w:rtl/>
        </w:rPr>
        <w:t>הויכוח</w:t>
      </w:r>
      <w:proofErr w:type="spellEnd"/>
      <w:r w:rsidRPr="0051679D">
        <w:rPr>
          <w:rFonts w:ascii="FrankRuehl" w:hAnsi="FrankRuehl"/>
          <w:rtl/>
        </w:rPr>
        <w:t xml:space="preserve"> עם הדת החדשה. לא היה אכפת להם לאמוראי בבל אם דרשותיהם לס' יונה ותפיסתם של תשובת אנשי </w:t>
      </w:r>
      <w:proofErr w:type="spellStart"/>
      <w:r w:rsidRPr="0051679D">
        <w:rPr>
          <w:rFonts w:ascii="FrankRuehl" w:hAnsi="FrankRuehl"/>
          <w:rtl/>
        </w:rPr>
        <w:t>נינוה</w:t>
      </w:r>
      <w:proofErr w:type="spellEnd"/>
      <w:r w:rsidRPr="0051679D">
        <w:rPr>
          <w:rFonts w:ascii="FrankRuehl" w:hAnsi="FrankRuehl"/>
          <w:rtl/>
        </w:rPr>
        <w:t xml:space="preserve"> והבלטת הניגוד שבינה לבין קשיות ערפו של ישראל יכלו לשמש חומר רצוי לדרשנים נוצרים...</w:t>
      </w:r>
    </w:p>
    <w:p w:rsidR="006918B9" w:rsidRPr="0051679D" w:rsidRDefault="00FE148D" w:rsidP="000C2229">
      <w:pPr>
        <w:spacing w:line="360" w:lineRule="auto"/>
        <w:jc w:val="both"/>
        <w:rPr>
          <w:rFonts w:ascii="FrankRuehl" w:hAnsi="FrankRuehl"/>
        </w:rPr>
      </w:pPr>
      <w:r w:rsidRPr="0051679D">
        <w:rPr>
          <w:rFonts w:ascii="FrankRuehl" w:hAnsi="FrankRuehl"/>
          <w:rtl/>
        </w:rPr>
        <w:t xml:space="preserve">גישתם של אמוראי א"י... </w:t>
      </w:r>
      <w:proofErr w:type="spellStart"/>
      <w:r w:rsidRPr="0051679D">
        <w:rPr>
          <w:rFonts w:ascii="FrankRuehl" w:hAnsi="FrankRuehl"/>
          <w:rtl/>
        </w:rPr>
        <w:t>היתה</w:t>
      </w:r>
      <w:proofErr w:type="spellEnd"/>
      <w:r w:rsidRPr="0051679D">
        <w:rPr>
          <w:rFonts w:ascii="FrankRuehl" w:hAnsi="FrankRuehl"/>
          <w:rtl/>
        </w:rPr>
        <w:t xml:space="preserve"> שונה בתוקף התנאים והנסיבות האחרות. הנצרות  התפשטה בא"י... גברה תוקפנותה של הדת-הבת, שראתה בשקיעת קרנה של ישראל את </w:t>
      </w:r>
      <w:proofErr w:type="spellStart"/>
      <w:r w:rsidRPr="0051679D">
        <w:rPr>
          <w:rFonts w:ascii="FrankRuehl" w:hAnsi="FrankRuehl"/>
          <w:rtl/>
        </w:rPr>
        <w:t>נצחונה</w:t>
      </w:r>
      <w:proofErr w:type="spellEnd"/>
      <w:r w:rsidRPr="0051679D">
        <w:rPr>
          <w:rFonts w:ascii="FrankRuehl" w:hAnsi="FrankRuehl"/>
          <w:rtl/>
        </w:rPr>
        <w:t xml:space="preserve">... הערך המיוחד </w:t>
      </w:r>
      <w:proofErr w:type="spellStart"/>
      <w:r w:rsidRPr="0051679D">
        <w:rPr>
          <w:rFonts w:ascii="FrankRuehl" w:hAnsi="FrankRuehl"/>
          <w:rtl/>
        </w:rPr>
        <w:t>שהכנסיה</w:t>
      </w:r>
      <w:proofErr w:type="spellEnd"/>
      <w:r w:rsidRPr="0051679D">
        <w:rPr>
          <w:rFonts w:ascii="FrankRuehl" w:hAnsi="FrankRuehl"/>
          <w:rtl/>
        </w:rPr>
        <w:t xml:space="preserve"> הנוצרית ייחסה לתשובת אנשי </w:t>
      </w:r>
      <w:proofErr w:type="spellStart"/>
      <w:r w:rsidRPr="0051679D">
        <w:rPr>
          <w:rFonts w:ascii="FrankRuehl" w:hAnsi="FrankRuehl"/>
          <w:rtl/>
        </w:rPr>
        <w:t>נינוה</w:t>
      </w:r>
      <w:proofErr w:type="spellEnd"/>
      <w:r w:rsidRPr="0051679D">
        <w:rPr>
          <w:rFonts w:ascii="FrankRuehl" w:hAnsi="FrankRuehl"/>
          <w:rtl/>
        </w:rPr>
        <w:t xml:space="preserve"> הוא שחייב את המעטת דמותה... ההכרח הפולמוסי מצדיק את </w:t>
      </w:r>
      <w:proofErr w:type="spellStart"/>
      <w:r w:rsidRPr="0051679D">
        <w:rPr>
          <w:rFonts w:ascii="FrankRuehl" w:hAnsi="FrankRuehl"/>
          <w:rtl/>
        </w:rPr>
        <w:t>הסטיה</w:t>
      </w:r>
      <w:proofErr w:type="spellEnd"/>
      <w:r w:rsidRPr="0051679D">
        <w:rPr>
          <w:rFonts w:ascii="FrankRuehl" w:hAnsi="FrankRuehl"/>
          <w:rtl/>
        </w:rPr>
        <w:t xml:space="preserve"> מהדרשה העתיקה ואף מדברי המשנה. </w:t>
      </w:r>
    </w:p>
    <w:sectPr w:rsidR="006918B9" w:rsidRPr="0051679D" w:rsidSect="00B2174B">
      <w:footerReference w:type="default" r:id="rId7"/>
      <w:pgSz w:w="11906" w:h="16838"/>
      <w:pgMar w:top="1440" w:right="1800" w:bottom="1440" w:left="1800" w:header="708" w:footer="708" w:gutter="0"/>
      <w:cols w:num="2"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42BC" w:rsidRDefault="00E542BC" w:rsidP="00601804">
      <w:pPr>
        <w:spacing w:after="0" w:line="240" w:lineRule="auto"/>
      </w:pPr>
      <w:r>
        <w:separator/>
      </w:r>
    </w:p>
  </w:endnote>
  <w:endnote w:type="continuationSeparator" w:id="0">
    <w:p w:rsidR="00E542BC" w:rsidRDefault="00E542BC" w:rsidP="006018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imes New Roman">
    <w:panose1 w:val="02020603050405020304"/>
    <w:charset w:val="00"/>
    <w:family w:val="roman"/>
    <w:pitch w:val="variable"/>
    <w:sig w:usb0="E0002EFF" w:usb1="C000785B" w:usb2="00000009" w:usb3="00000000" w:csb0="000001FF" w:csb1="00000000"/>
  </w:font>
  <w:font w:name="Guttman Kav">
    <w:panose1 w:val="02010401010101010101"/>
    <w:charset w:val="B1"/>
    <w:family w:val="auto"/>
    <w:pitch w:val="variable"/>
    <w:sig w:usb0="00000801" w:usb1="40000000" w:usb2="00000000" w:usb3="00000000" w:csb0="00000020" w:csb1="00000000"/>
  </w:font>
  <w:font w:name="David">
    <w:panose1 w:val="020E0502060401010101"/>
    <w:charset w:val="00"/>
    <w:family w:val="swiss"/>
    <w:pitch w:val="variable"/>
    <w:sig w:usb0="00000803" w:usb1="00000000" w:usb2="00000000" w:usb3="00000000" w:csb0="00000021" w:csb1="00000000"/>
  </w:font>
  <w:font w:name="Aharoni">
    <w:panose1 w:val="02010803020104030203"/>
    <w:charset w:val="00"/>
    <w:family w:val="auto"/>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28214165"/>
      <w:docPartObj>
        <w:docPartGallery w:val="Page Numbers (Bottom of Page)"/>
        <w:docPartUnique/>
      </w:docPartObj>
    </w:sdtPr>
    <w:sdtEndPr/>
    <w:sdtContent>
      <w:p w:rsidR="003A593D" w:rsidRDefault="00E542BC">
        <w:pPr>
          <w:pStyle w:val="a3"/>
          <w:jc w:val="right"/>
        </w:pPr>
        <w:r>
          <w:fldChar w:fldCharType="begin"/>
        </w:r>
        <w:r>
          <w:instrText xml:space="preserve"> PAGE   \* MERGEFORMAT </w:instrText>
        </w:r>
        <w:r>
          <w:fldChar w:fldCharType="separate"/>
        </w:r>
        <w:r w:rsidR="000C2229" w:rsidRPr="000C2229">
          <w:rPr>
            <w:rFonts w:cs="Calibri"/>
            <w:noProof/>
            <w:rtl/>
            <w:lang w:val="he-IL"/>
          </w:rPr>
          <w:t>1</w:t>
        </w:r>
        <w:r>
          <w:rPr>
            <w:rFonts w:cs="Calibri"/>
            <w:noProof/>
            <w:lang w:val="he-IL"/>
          </w:rPr>
          <w:fldChar w:fldCharType="end"/>
        </w:r>
      </w:p>
    </w:sdtContent>
  </w:sdt>
  <w:p w:rsidR="003A593D" w:rsidRDefault="00E542BC">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42BC" w:rsidRDefault="00E542BC" w:rsidP="00601804">
      <w:pPr>
        <w:spacing w:after="0" w:line="240" w:lineRule="auto"/>
      </w:pPr>
      <w:r>
        <w:separator/>
      </w:r>
    </w:p>
  </w:footnote>
  <w:footnote w:type="continuationSeparator" w:id="0">
    <w:p w:rsidR="00E542BC" w:rsidRDefault="00E542BC" w:rsidP="00601804">
      <w:pPr>
        <w:spacing w:after="0" w:line="240" w:lineRule="auto"/>
      </w:pPr>
      <w:r>
        <w:continuationSeparator/>
      </w:r>
    </w:p>
  </w:footnote>
  <w:footnote w:id="1">
    <w:p w:rsidR="00FE148D" w:rsidRPr="0051679D" w:rsidRDefault="00FE148D" w:rsidP="00FE148D">
      <w:pPr>
        <w:pStyle w:val="ad"/>
        <w:rPr>
          <w:rFonts w:ascii="FrankRuehl" w:hAnsi="FrankRuehl" w:cs="FrankRuehl"/>
          <w:szCs w:val="20"/>
          <w:rtl/>
        </w:rPr>
      </w:pPr>
      <w:r w:rsidRPr="0051679D">
        <w:rPr>
          <w:rStyle w:val="af"/>
          <w:rFonts w:ascii="FrankRuehl" w:hAnsi="FrankRuehl" w:cs="FrankRuehl"/>
          <w:szCs w:val="20"/>
        </w:rPr>
        <w:footnoteRef/>
      </w:r>
      <w:r w:rsidRPr="0051679D">
        <w:rPr>
          <w:rFonts w:ascii="FrankRuehl" w:hAnsi="FrankRuehl" w:cs="FrankRuehl"/>
          <w:szCs w:val="20"/>
          <w:rtl/>
        </w:rPr>
        <w:t xml:space="preserve"> </w:t>
      </w:r>
      <w:r w:rsidRPr="0051679D">
        <w:rPr>
          <w:rFonts w:ascii="FrankRuehl" w:hAnsi="FrankRuehl" w:cs="FrankRuehl"/>
          <w:b/>
          <w:bCs/>
          <w:szCs w:val="20"/>
          <w:rtl/>
        </w:rPr>
        <w:t>משנה מסכת גיטין פרק ה</w:t>
      </w:r>
      <w:r w:rsidRPr="0051679D">
        <w:rPr>
          <w:rFonts w:ascii="FrankRuehl" w:hAnsi="FrankRuehl" w:cs="FrankRuehl"/>
          <w:szCs w:val="20"/>
          <w:rtl/>
        </w:rPr>
        <w:t xml:space="preserve">, </w:t>
      </w:r>
      <w:r w:rsidRPr="0051679D">
        <w:rPr>
          <w:rFonts w:ascii="FrankRuehl" w:hAnsi="FrankRuehl" w:cs="FrankRuehl"/>
          <w:b/>
          <w:bCs/>
          <w:szCs w:val="20"/>
          <w:rtl/>
        </w:rPr>
        <w:t>ה</w:t>
      </w:r>
      <w:r w:rsidRPr="0051679D">
        <w:rPr>
          <w:rFonts w:ascii="FrankRuehl" w:hAnsi="FrankRuehl" w:cs="FrankRuehl"/>
          <w:szCs w:val="20"/>
          <w:rtl/>
        </w:rPr>
        <w:t xml:space="preserve">: </w:t>
      </w:r>
      <w:r w:rsidRPr="0051679D">
        <w:rPr>
          <w:rFonts w:ascii="FrankRuehl" w:hAnsi="FrankRuehl" w:cs="FrankRuehl"/>
          <w:szCs w:val="20"/>
          <w:rtl/>
        </w:rPr>
        <w:t xml:space="preserve">העיד רבי יוחנן בן </w:t>
      </w:r>
      <w:proofErr w:type="spellStart"/>
      <w:r w:rsidRPr="0051679D">
        <w:rPr>
          <w:rFonts w:ascii="FrankRuehl" w:hAnsi="FrankRuehl" w:cs="FrankRuehl"/>
          <w:szCs w:val="20"/>
          <w:rtl/>
        </w:rPr>
        <w:t>גודגדה</w:t>
      </w:r>
      <w:proofErr w:type="spellEnd"/>
      <w:r w:rsidRPr="0051679D">
        <w:rPr>
          <w:rFonts w:ascii="FrankRuehl" w:hAnsi="FrankRuehl" w:cs="FrankRuehl"/>
          <w:szCs w:val="20"/>
          <w:rtl/>
        </w:rPr>
        <w:t xml:space="preserve">... </w:t>
      </w:r>
      <w:r w:rsidRPr="0051679D">
        <w:rPr>
          <w:rFonts w:ascii="FrankRuehl" w:hAnsi="FrankRuehl" w:cs="FrankRuehl"/>
          <w:szCs w:val="20"/>
          <w:rtl/>
        </w:rPr>
        <w:t xml:space="preserve">על המריש הגזול שבנאו בבירה </w:t>
      </w:r>
      <w:proofErr w:type="spellStart"/>
      <w:r w:rsidRPr="0051679D">
        <w:rPr>
          <w:rFonts w:ascii="FrankRuehl" w:hAnsi="FrankRuehl" w:cs="FrankRuehl"/>
          <w:szCs w:val="20"/>
          <w:rtl/>
        </w:rPr>
        <w:t>שיטול</w:t>
      </w:r>
      <w:proofErr w:type="spellEnd"/>
      <w:r w:rsidRPr="0051679D">
        <w:rPr>
          <w:rFonts w:ascii="FrankRuehl" w:hAnsi="FrankRuehl" w:cs="FrankRuehl"/>
          <w:szCs w:val="20"/>
          <w:rtl/>
        </w:rPr>
        <w:t xml:space="preserve"> את דמיו מפני תקנת השבים:</w:t>
      </w:r>
    </w:p>
  </w:footnote>
  <w:footnote w:id="2">
    <w:p w:rsidR="00FE148D" w:rsidRPr="0051679D" w:rsidRDefault="00FE148D">
      <w:pPr>
        <w:pStyle w:val="ad"/>
        <w:rPr>
          <w:rFonts w:ascii="FrankRuehl" w:hAnsi="FrankRuehl" w:cs="FrankRuehl"/>
          <w:szCs w:val="20"/>
          <w:rtl/>
        </w:rPr>
      </w:pPr>
      <w:r w:rsidRPr="0051679D">
        <w:rPr>
          <w:rStyle w:val="af"/>
          <w:rFonts w:ascii="FrankRuehl" w:hAnsi="FrankRuehl" w:cs="FrankRuehl"/>
          <w:szCs w:val="20"/>
        </w:rPr>
        <w:footnoteRef/>
      </w:r>
      <w:r w:rsidRPr="0051679D">
        <w:rPr>
          <w:rFonts w:ascii="FrankRuehl" w:hAnsi="FrankRuehl" w:cs="FrankRuehl"/>
          <w:szCs w:val="20"/>
          <w:rtl/>
        </w:rPr>
        <w:t xml:space="preserve"> </w:t>
      </w:r>
      <w:r w:rsidRPr="0051679D">
        <w:rPr>
          <w:rFonts w:ascii="FrankRuehl" w:hAnsi="FrankRuehl" w:cs="FrankRuehl"/>
          <w:b/>
          <w:bCs/>
          <w:szCs w:val="20"/>
          <w:rtl/>
        </w:rPr>
        <w:t xml:space="preserve">פסיקתא </w:t>
      </w:r>
      <w:proofErr w:type="spellStart"/>
      <w:r w:rsidRPr="0051679D">
        <w:rPr>
          <w:rFonts w:ascii="FrankRuehl" w:hAnsi="FrankRuehl" w:cs="FrankRuehl"/>
          <w:b/>
          <w:bCs/>
          <w:szCs w:val="20"/>
          <w:rtl/>
        </w:rPr>
        <w:t>דרב</w:t>
      </w:r>
      <w:proofErr w:type="spellEnd"/>
      <w:r w:rsidRPr="0051679D">
        <w:rPr>
          <w:rFonts w:ascii="FrankRuehl" w:hAnsi="FrankRuehl" w:cs="FrankRuehl"/>
          <w:b/>
          <w:bCs/>
          <w:szCs w:val="20"/>
          <w:rtl/>
        </w:rPr>
        <w:t xml:space="preserve"> כהנא </w:t>
      </w:r>
      <w:r w:rsidRPr="0051679D">
        <w:rPr>
          <w:rStyle w:val="a5"/>
          <w:rFonts w:ascii="FrankRuehl" w:hAnsi="FrankRuehl" w:cs="FrankRuehl"/>
          <w:b/>
          <w:bCs/>
          <w:sz w:val="20"/>
          <w:szCs w:val="20"/>
          <w:rtl/>
        </w:rPr>
        <w:t>(פרשה כד ד"ה תשובתן)</w:t>
      </w:r>
      <w:r w:rsidRPr="0051679D">
        <w:rPr>
          <w:rFonts w:ascii="FrankRuehl" w:hAnsi="FrankRuehl" w:cs="FrankRuehl"/>
          <w:b/>
          <w:bCs/>
          <w:szCs w:val="20"/>
          <w:rtl/>
        </w:rPr>
        <w:t>:</w:t>
      </w:r>
      <w:r w:rsidR="0051679D">
        <w:rPr>
          <w:rFonts w:ascii="FrankRuehl" w:hAnsi="FrankRuehl" w:cs="FrankRuehl"/>
          <w:szCs w:val="20"/>
          <w:rtl/>
        </w:rPr>
        <w:t xml:space="preserve"> </w:t>
      </w:r>
      <w:proofErr w:type="spellStart"/>
      <w:r w:rsidRPr="0051679D">
        <w:rPr>
          <w:rFonts w:ascii="FrankRuehl" w:hAnsi="FrankRuehl" w:cs="FrankRuehl"/>
          <w:szCs w:val="20"/>
          <w:rtl/>
        </w:rPr>
        <w:t>חציפה</w:t>
      </w:r>
      <w:proofErr w:type="spellEnd"/>
      <w:r w:rsidRPr="0051679D">
        <w:rPr>
          <w:rFonts w:ascii="FrankRuehl" w:hAnsi="FrankRuehl" w:cs="FrankRuehl"/>
          <w:szCs w:val="20"/>
          <w:rtl/>
        </w:rPr>
        <w:t xml:space="preserve"> נצח לבישה (החצוף מנצח את הרע), כל שכן לטובתו של עולם</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3880"/>
    <w:rsid w:val="000C2229"/>
    <w:rsid w:val="003F3880"/>
    <w:rsid w:val="0040475C"/>
    <w:rsid w:val="0051679D"/>
    <w:rsid w:val="005819C3"/>
    <w:rsid w:val="005A59DB"/>
    <w:rsid w:val="00601804"/>
    <w:rsid w:val="006918B9"/>
    <w:rsid w:val="00B812E3"/>
    <w:rsid w:val="00D77E4B"/>
    <w:rsid w:val="00E542BC"/>
    <w:rsid w:val="00F016BD"/>
    <w:rsid w:val="00FE148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BCF38B"/>
  <w15:chartTrackingRefBased/>
  <w15:docId w15:val="{CC16299A-4D4E-4BC3-9AFC-1F28482CD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rsid w:val="003F3880"/>
    <w:pPr>
      <w:bidi/>
      <w:spacing w:after="200" w:line="276" w:lineRule="auto"/>
    </w:pPr>
    <w:rPr>
      <w:rFonts w:ascii="Arial" w:hAnsi="Arial" w:cs="FrankRueh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3F3880"/>
    <w:pPr>
      <w:tabs>
        <w:tab w:val="center" w:pos="4153"/>
        <w:tab w:val="right" w:pos="8306"/>
      </w:tabs>
      <w:spacing w:after="0" w:line="240" w:lineRule="auto"/>
    </w:pPr>
  </w:style>
  <w:style w:type="character" w:customStyle="1" w:styleId="a4">
    <w:name w:val="כותרת תחתונה תו"/>
    <w:basedOn w:val="a0"/>
    <w:link w:val="a3"/>
    <w:uiPriority w:val="99"/>
    <w:rsid w:val="003F3880"/>
    <w:rPr>
      <w:rFonts w:ascii="Arial" w:hAnsi="Arial" w:cs="FrankRuehl"/>
    </w:rPr>
  </w:style>
  <w:style w:type="character" w:customStyle="1" w:styleId="a5">
    <w:name w:val="מראהמקום"/>
    <w:basedOn w:val="a0"/>
    <w:rsid w:val="005819C3"/>
    <w:rPr>
      <w:rFonts w:cs="Guttman Kav"/>
      <w:sz w:val="18"/>
      <w:szCs w:val="18"/>
      <w:lang w:bidi="he-IL"/>
    </w:rPr>
  </w:style>
  <w:style w:type="paragraph" w:customStyle="1" w:styleId="a6">
    <w:name w:val="ציטוט אמצע"/>
    <w:basedOn w:val="a7"/>
    <w:next w:val="a8"/>
    <w:link w:val="a9"/>
    <w:rsid w:val="0040475C"/>
    <w:pPr>
      <w:overflowPunct w:val="0"/>
      <w:autoSpaceDE w:val="0"/>
      <w:autoSpaceDN w:val="0"/>
      <w:adjustRightInd w:val="0"/>
      <w:spacing w:before="0" w:after="0" w:line="360" w:lineRule="auto"/>
      <w:ind w:left="663" w:right="0"/>
      <w:jc w:val="both"/>
      <w:textAlignment w:val="baseline"/>
    </w:pPr>
    <w:rPr>
      <w:rFonts w:ascii="Times New Roman" w:eastAsia="Times New Roman" w:hAnsi="Times New Roman" w:cs="David"/>
      <w:i w:val="0"/>
      <w:iCs w:val="0"/>
      <w:sz w:val="20"/>
    </w:rPr>
  </w:style>
  <w:style w:type="paragraph" w:customStyle="1" w:styleId="a8">
    <w:name w:val="ציטוט סוף"/>
    <w:basedOn w:val="a7"/>
    <w:next w:val="a"/>
    <w:link w:val="1"/>
    <w:autoRedefine/>
    <w:rsid w:val="0040475C"/>
    <w:pPr>
      <w:overflowPunct w:val="0"/>
      <w:autoSpaceDE w:val="0"/>
      <w:autoSpaceDN w:val="0"/>
      <w:adjustRightInd w:val="0"/>
      <w:spacing w:before="0" w:after="180" w:line="360" w:lineRule="auto"/>
      <w:ind w:left="663" w:right="0"/>
      <w:jc w:val="both"/>
      <w:textAlignment w:val="baseline"/>
    </w:pPr>
    <w:rPr>
      <w:rFonts w:ascii="Times New Roman" w:eastAsia="Times New Roman" w:hAnsi="Times New Roman" w:cs="David"/>
      <w:i w:val="0"/>
      <w:iCs w:val="0"/>
    </w:rPr>
  </w:style>
  <w:style w:type="character" w:customStyle="1" w:styleId="1">
    <w:name w:val="ציטוט סוף תו1"/>
    <w:basedOn w:val="aa"/>
    <w:link w:val="a8"/>
    <w:locked/>
    <w:rsid w:val="0040475C"/>
    <w:rPr>
      <w:rFonts w:ascii="Times New Roman" w:eastAsia="Times New Roman" w:hAnsi="Times New Roman" w:cs="David"/>
      <w:i w:val="0"/>
      <w:iCs w:val="0"/>
      <w:color w:val="404040" w:themeColor="text1" w:themeTint="BF"/>
    </w:rPr>
  </w:style>
  <w:style w:type="character" w:customStyle="1" w:styleId="a9">
    <w:name w:val="ציטוט אמצע תו"/>
    <w:basedOn w:val="aa"/>
    <w:link w:val="a6"/>
    <w:locked/>
    <w:rsid w:val="0040475C"/>
    <w:rPr>
      <w:rFonts w:ascii="Times New Roman" w:eastAsia="Times New Roman" w:hAnsi="Times New Roman" w:cs="David"/>
      <w:i w:val="0"/>
      <w:iCs w:val="0"/>
      <w:color w:val="404040" w:themeColor="text1" w:themeTint="BF"/>
      <w:sz w:val="20"/>
    </w:rPr>
  </w:style>
  <w:style w:type="paragraph" w:customStyle="1" w:styleId="ab">
    <w:name w:val="ציטוט ראש"/>
    <w:basedOn w:val="a7"/>
    <w:next w:val="a6"/>
    <w:link w:val="ac"/>
    <w:rsid w:val="0040475C"/>
    <w:pPr>
      <w:overflowPunct w:val="0"/>
      <w:autoSpaceDE w:val="0"/>
      <w:autoSpaceDN w:val="0"/>
      <w:adjustRightInd w:val="0"/>
      <w:spacing w:before="180" w:after="0" w:line="360" w:lineRule="auto"/>
      <w:ind w:left="663" w:right="0"/>
      <w:jc w:val="both"/>
      <w:textAlignment w:val="baseline"/>
    </w:pPr>
    <w:rPr>
      <w:rFonts w:ascii="Times New Roman" w:eastAsia="Times New Roman" w:hAnsi="Times New Roman" w:cs="David"/>
      <w:i w:val="0"/>
      <w:iCs w:val="0"/>
      <w:sz w:val="20"/>
    </w:rPr>
  </w:style>
  <w:style w:type="character" w:customStyle="1" w:styleId="ac">
    <w:name w:val="ציטוט ראש תו"/>
    <w:basedOn w:val="aa"/>
    <w:link w:val="ab"/>
    <w:locked/>
    <w:rsid w:val="0040475C"/>
    <w:rPr>
      <w:rFonts w:ascii="Times New Roman" w:eastAsia="Times New Roman" w:hAnsi="Times New Roman" w:cs="David"/>
      <w:i w:val="0"/>
      <w:iCs w:val="0"/>
      <w:color w:val="404040" w:themeColor="text1" w:themeTint="BF"/>
      <w:sz w:val="20"/>
    </w:rPr>
  </w:style>
  <w:style w:type="paragraph" w:styleId="a7">
    <w:name w:val="Quote"/>
    <w:basedOn w:val="a"/>
    <w:next w:val="a"/>
    <w:link w:val="aa"/>
    <w:qFormat/>
    <w:rsid w:val="0040475C"/>
    <w:pPr>
      <w:spacing w:before="200" w:after="160"/>
      <w:ind w:left="864" w:right="864"/>
      <w:jc w:val="center"/>
    </w:pPr>
    <w:rPr>
      <w:i/>
      <w:iCs/>
      <w:color w:val="404040" w:themeColor="text1" w:themeTint="BF"/>
    </w:rPr>
  </w:style>
  <w:style w:type="character" w:customStyle="1" w:styleId="aa">
    <w:name w:val="ציטוט תו"/>
    <w:basedOn w:val="a0"/>
    <w:link w:val="a7"/>
    <w:rsid w:val="0040475C"/>
    <w:rPr>
      <w:rFonts w:ascii="Arial" w:hAnsi="Arial" w:cs="FrankRuehl"/>
      <w:i/>
      <w:iCs/>
      <w:color w:val="404040" w:themeColor="text1" w:themeTint="BF"/>
    </w:rPr>
  </w:style>
  <w:style w:type="paragraph" w:styleId="ad">
    <w:name w:val="footnote text"/>
    <w:basedOn w:val="a"/>
    <w:link w:val="ae"/>
    <w:semiHidden/>
    <w:rsid w:val="00FE148D"/>
    <w:pPr>
      <w:tabs>
        <w:tab w:val="left" w:pos="357"/>
      </w:tabs>
      <w:overflowPunct w:val="0"/>
      <w:autoSpaceDE w:val="0"/>
      <w:autoSpaceDN w:val="0"/>
      <w:adjustRightInd w:val="0"/>
      <w:spacing w:after="0" w:line="360" w:lineRule="auto"/>
      <w:jc w:val="both"/>
      <w:textAlignment w:val="baseline"/>
    </w:pPr>
    <w:rPr>
      <w:rFonts w:ascii="Times New Roman" w:eastAsia="Times New Roman" w:hAnsi="Times New Roman" w:cs="David"/>
      <w:sz w:val="20"/>
      <w:szCs w:val="18"/>
    </w:rPr>
  </w:style>
  <w:style w:type="character" w:customStyle="1" w:styleId="ae">
    <w:name w:val="טקסט הערת שוליים תו"/>
    <w:basedOn w:val="a0"/>
    <w:link w:val="ad"/>
    <w:rsid w:val="00FE148D"/>
    <w:rPr>
      <w:rFonts w:ascii="Times New Roman" w:eastAsia="Times New Roman" w:hAnsi="Times New Roman" w:cs="David"/>
      <w:sz w:val="20"/>
      <w:szCs w:val="18"/>
    </w:rPr>
  </w:style>
  <w:style w:type="character" w:styleId="af">
    <w:name w:val="footnote reference"/>
    <w:basedOn w:val="a0"/>
    <w:semiHidden/>
    <w:unhideWhenUsed/>
    <w:rsid w:val="00FE148D"/>
    <w:rPr>
      <w:vertAlign w:val="superscript"/>
    </w:rPr>
  </w:style>
  <w:style w:type="character" w:customStyle="1" w:styleId="v">
    <w:name w:val="v"/>
    <w:basedOn w:val="a0"/>
    <w:rsid w:val="00FE148D"/>
  </w:style>
  <w:style w:type="character" w:customStyle="1" w:styleId="apple-converted-space">
    <w:name w:val="apple-converted-space"/>
    <w:basedOn w:val="a0"/>
    <w:rsid w:val="00FE14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E0D08C-DB21-4509-B9EC-01468DE75B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2</Pages>
  <Words>1082</Words>
  <Characters>5411</Characters>
  <Application>Microsoft Office Word</Application>
  <DocSecurity>0</DocSecurity>
  <Lines>45</Lines>
  <Paragraphs>12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6481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Elhanan Nir</dc:creator>
  <cp:keywords/>
  <dc:description/>
  <cp:lastModifiedBy>Elhanan Nir</cp:lastModifiedBy>
  <cp:revision>4</cp:revision>
  <dcterms:created xsi:type="dcterms:W3CDTF">2016-10-08T17:59:00Z</dcterms:created>
  <dcterms:modified xsi:type="dcterms:W3CDTF">2016-10-10T04:28:00Z</dcterms:modified>
</cp:coreProperties>
</file>