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8118E" w:rsidRDefault="001349D9" w:rsidP="00491CDB">
      <w:pPr>
        <w:pStyle w:val="a3"/>
        <w:rPr>
          <w:rtl/>
        </w:rPr>
      </w:pPr>
      <w:r>
        <w:rPr>
          <w:rFonts w:hint="cs"/>
          <w:rtl/>
        </w:rPr>
        <w:t xml:space="preserve">בס"ד, ט"ז מרחשוון </w:t>
      </w:r>
      <w:proofErr w:type="spellStart"/>
      <w:r>
        <w:rPr>
          <w:rFonts w:hint="cs"/>
          <w:rtl/>
        </w:rPr>
        <w:t>התשע"ז</w:t>
      </w:r>
      <w:proofErr w:type="spellEnd"/>
    </w:p>
    <w:p w:rsidR="001349D9" w:rsidRDefault="001349D9" w:rsidP="00491CDB">
      <w:pPr>
        <w:pStyle w:val="a3"/>
        <w:rPr>
          <w:rtl/>
        </w:rPr>
      </w:pPr>
    </w:p>
    <w:p w:rsidR="001349D9" w:rsidRDefault="00750381" w:rsidP="001349D9">
      <w:pPr>
        <w:pStyle w:val="a3"/>
        <w:jc w:val="center"/>
        <w:rPr>
          <w:b/>
          <w:bCs/>
          <w:rtl/>
        </w:rPr>
      </w:pPr>
      <w:r>
        <w:rPr>
          <w:rFonts w:hint="cs"/>
          <w:b/>
          <w:bCs/>
          <w:rtl/>
        </w:rPr>
        <w:t xml:space="preserve">מסתרי </w:t>
      </w:r>
      <w:r w:rsidR="00634FB7">
        <w:rPr>
          <w:rFonts w:hint="cs"/>
          <w:b/>
          <w:bCs/>
          <w:rtl/>
        </w:rPr>
        <w:t xml:space="preserve">מפגש - </w:t>
      </w:r>
      <w:r w:rsidR="001349D9">
        <w:rPr>
          <w:rFonts w:hint="cs"/>
          <w:b/>
          <w:bCs/>
          <w:rtl/>
        </w:rPr>
        <w:t>הכנסת אורחים</w:t>
      </w:r>
      <w:r w:rsidR="00634FB7">
        <w:rPr>
          <w:rFonts w:hint="cs"/>
          <w:b/>
          <w:bCs/>
          <w:rtl/>
        </w:rPr>
        <w:t xml:space="preserve"> כמשל</w:t>
      </w:r>
    </w:p>
    <w:p w:rsidR="001349D9" w:rsidRPr="001349D9" w:rsidRDefault="001349D9" w:rsidP="001349D9">
      <w:pPr>
        <w:pStyle w:val="a3"/>
        <w:jc w:val="center"/>
        <w:rPr>
          <w:b/>
          <w:bCs/>
          <w:rtl/>
        </w:rPr>
      </w:pPr>
      <w:r>
        <w:rPr>
          <w:rFonts w:hint="cs"/>
          <w:b/>
          <w:bCs/>
          <w:rtl/>
        </w:rPr>
        <w:t>עם חבורת ימי חמישי</w:t>
      </w:r>
    </w:p>
    <w:p w:rsidR="00634FB7" w:rsidRDefault="00634FB7" w:rsidP="001349D9">
      <w:pPr>
        <w:pStyle w:val="a3"/>
        <w:rPr>
          <w:rFonts w:hint="cs"/>
          <w:b/>
          <w:bCs/>
          <w:rtl/>
        </w:rPr>
      </w:pPr>
    </w:p>
    <w:p w:rsidR="00EB2B34" w:rsidRPr="00634FB7" w:rsidRDefault="00EB2B34" w:rsidP="00EB2B34">
      <w:pPr>
        <w:pStyle w:val="a3"/>
        <w:rPr>
          <w:b/>
          <w:bCs/>
          <w:rtl/>
        </w:rPr>
      </w:pPr>
      <w:r w:rsidRPr="00634FB7">
        <w:rPr>
          <w:b/>
          <w:bCs/>
          <w:rtl/>
        </w:rPr>
        <w:t xml:space="preserve">תלמוד בבלי מסכת קידושין דף </w:t>
      </w:r>
      <w:proofErr w:type="spellStart"/>
      <w:r w:rsidRPr="00634FB7">
        <w:rPr>
          <w:b/>
          <w:bCs/>
          <w:rtl/>
        </w:rPr>
        <w:t>לט</w:t>
      </w:r>
      <w:proofErr w:type="spellEnd"/>
      <w:r w:rsidRPr="00634FB7">
        <w:rPr>
          <w:b/>
          <w:bCs/>
          <w:rtl/>
        </w:rPr>
        <w:t xml:space="preserve"> עמוד ב </w:t>
      </w:r>
    </w:p>
    <w:p w:rsidR="00EB2B34" w:rsidRPr="00634FB7" w:rsidRDefault="00EB2B34" w:rsidP="00EB2B34">
      <w:pPr>
        <w:pStyle w:val="a3"/>
        <w:rPr>
          <w:rFonts w:hint="cs"/>
          <w:rtl/>
        </w:rPr>
      </w:pPr>
      <w:r w:rsidRPr="00634FB7">
        <w:rPr>
          <w:rtl/>
        </w:rPr>
        <w:t>אלו דברים שאדם אוכל פירותיהן בעולם הזה והקרן קיימת לו לעולם הבא, אלו הן: כבוד אב ואם, וגמילות חסדים, והכנסת אורחים, והבאת שלום בין אד</w:t>
      </w:r>
      <w:r>
        <w:rPr>
          <w:rtl/>
        </w:rPr>
        <w:t xml:space="preserve">ם </w:t>
      </w:r>
      <w:proofErr w:type="spellStart"/>
      <w:r>
        <w:rPr>
          <w:rtl/>
        </w:rPr>
        <w:t>לחבירו</w:t>
      </w:r>
      <w:proofErr w:type="spellEnd"/>
      <w:r>
        <w:rPr>
          <w:rtl/>
        </w:rPr>
        <w:t>, ותלמוד תורה כנגד כולם</w:t>
      </w:r>
    </w:p>
    <w:p w:rsidR="00EB2B34" w:rsidRDefault="00EB2B34" w:rsidP="000A2FD4">
      <w:pPr>
        <w:pStyle w:val="a3"/>
        <w:rPr>
          <w:rFonts w:hint="cs"/>
          <w:b/>
          <w:bCs/>
          <w:rtl/>
        </w:rPr>
      </w:pPr>
    </w:p>
    <w:p w:rsidR="000A2FD4" w:rsidRPr="000A2FD4" w:rsidRDefault="000A2FD4" w:rsidP="000A2FD4">
      <w:pPr>
        <w:pStyle w:val="a3"/>
        <w:rPr>
          <w:b/>
          <w:bCs/>
          <w:rtl/>
        </w:rPr>
      </w:pPr>
      <w:r w:rsidRPr="000A2FD4">
        <w:rPr>
          <w:b/>
          <w:bCs/>
          <w:rtl/>
        </w:rPr>
        <w:t xml:space="preserve">בראשית פרק </w:t>
      </w:r>
      <w:proofErr w:type="spellStart"/>
      <w:r w:rsidRPr="000A2FD4">
        <w:rPr>
          <w:b/>
          <w:bCs/>
          <w:rtl/>
        </w:rPr>
        <w:t>יח</w:t>
      </w:r>
      <w:proofErr w:type="spellEnd"/>
      <w:r w:rsidRPr="000A2FD4">
        <w:rPr>
          <w:b/>
          <w:bCs/>
          <w:rtl/>
        </w:rPr>
        <w:t xml:space="preserve"> </w:t>
      </w:r>
    </w:p>
    <w:p w:rsidR="000A2FD4" w:rsidRPr="000A2FD4" w:rsidRDefault="000A2FD4" w:rsidP="000A2FD4">
      <w:pPr>
        <w:pStyle w:val="a3"/>
        <w:rPr>
          <w:rtl/>
        </w:rPr>
      </w:pPr>
      <w:r w:rsidRPr="000A2FD4">
        <w:rPr>
          <w:rtl/>
        </w:rPr>
        <w:t xml:space="preserve">(א) וַיֵּרָ֤א אֵלָיו֙ </w:t>
      </w:r>
      <w:proofErr w:type="spellStart"/>
      <w:r w:rsidRPr="000A2FD4">
        <w:rPr>
          <w:rtl/>
        </w:rPr>
        <w:t>יְקֹוָ֔ק</w:t>
      </w:r>
      <w:proofErr w:type="spellEnd"/>
      <w:r w:rsidRPr="000A2FD4">
        <w:rPr>
          <w:rtl/>
        </w:rPr>
        <w:t xml:space="preserve"> </w:t>
      </w:r>
      <w:proofErr w:type="spellStart"/>
      <w:r w:rsidRPr="000A2FD4">
        <w:rPr>
          <w:rtl/>
        </w:rPr>
        <w:t>בְּאֵלֹנֵ֖י</w:t>
      </w:r>
      <w:proofErr w:type="spellEnd"/>
      <w:r w:rsidRPr="000A2FD4">
        <w:rPr>
          <w:rtl/>
        </w:rPr>
        <w:t xml:space="preserve"> מַמְרֵ֑א וְה֛וּא יֹשֵׁ֥ב פֶּֽתַח־הָאֹ֖הֶל כְּחֹ֥ם הַיּֽוֹם:</w:t>
      </w:r>
    </w:p>
    <w:p w:rsidR="000A2FD4" w:rsidRPr="000A2FD4" w:rsidRDefault="000A2FD4" w:rsidP="000A2FD4">
      <w:pPr>
        <w:pStyle w:val="a3"/>
        <w:rPr>
          <w:rtl/>
        </w:rPr>
      </w:pPr>
      <w:r w:rsidRPr="000A2FD4">
        <w:rPr>
          <w:rtl/>
        </w:rPr>
        <w:t xml:space="preserve">(ב) </w:t>
      </w:r>
      <w:proofErr w:type="spellStart"/>
      <w:r w:rsidRPr="000A2FD4">
        <w:rPr>
          <w:rtl/>
        </w:rPr>
        <w:t>וַיִּשָּׂ֤א</w:t>
      </w:r>
      <w:proofErr w:type="spellEnd"/>
      <w:r w:rsidRPr="000A2FD4">
        <w:rPr>
          <w:rtl/>
        </w:rPr>
        <w:t xml:space="preserve"> עֵינָיו֙ וַיַּ֔רְא וְהִנֵּה֙ שְׁלֹשָׁ֣ה אֲנָשִׁ֔ים </w:t>
      </w:r>
      <w:proofErr w:type="spellStart"/>
      <w:r w:rsidRPr="000A2FD4">
        <w:rPr>
          <w:rtl/>
        </w:rPr>
        <w:t>נִצָּבִ֖ים</w:t>
      </w:r>
      <w:proofErr w:type="spellEnd"/>
      <w:r w:rsidRPr="000A2FD4">
        <w:rPr>
          <w:rtl/>
        </w:rPr>
        <w:t xml:space="preserve"> עָלָ֑יו וַיַּ֗רְא </w:t>
      </w:r>
      <w:proofErr w:type="spellStart"/>
      <w:r w:rsidRPr="000A2FD4">
        <w:rPr>
          <w:rtl/>
        </w:rPr>
        <w:t>וַיָּ֤רָץ</w:t>
      </w:r>
      <w:proofErr w:type="spellEnd"/>
      <w:r w:rsidRPr="000A2FD4">
        <w:rPr>
          <w:rtl/>
        </w:rPr>
        <w:t xml:space="preserve"> לִקְרָאתָם֙ מִפֶּ֣תַח הָאֹ֔הֶל </w:t>
      </w:r>
      <w:proofErr w:type="spellStart"/>
      <w:r w:rsidRPr="000A2FD4">
        <w:rPr>
          <w:rtl/>
        </w:rPr>
        <w:t>וַיִּשְׁתַּ֖חוּ</w:t>
      </w:r>
      <w:proofErr w:type="spellEnd"/>
      <w:r w:rsidRPr="000A2FD4">
        <w:rPr>
          <w:rtl/>
        </w:rPr>
        <w:t xml:space="preserve"> אָֽרְצָה:</w:t>
      </w:r>
    </w:p>
    <w:p w:rsidR="000A2FD4" w:rsidRPr="000A2FD4" w:rsidRDefault="000A2FD4" w:rsidP="000A2FD4">
      <w:pPr>
        <w:pStyle w:val="a3"/>
        <w:rPr>
          <w:rtl/>
        </w:rPr>
      </w:pPr>
      <w:r w:rsidRPr="000A2FD4">
        <w:rPr>
          <w:rtl/>
        </w:rPr>
        <w:t>(ג) וַיֹּאמַ֑ר אֲדֹנָ֗י אִם־נָ֨א מָצָ֤אתִי חֵן֙ בְּעֵינֶ֔יךָ אַל־נָ֥א תַעֲבֹ֖ר מֵעַ֥ל עַבְדֶּֽךָ:</w:t>
      </w:r>
    </w:p>
    <w:p w:rsidR="000A2FD4" w:rsidRPr="000A2FD4" w:rsidRDefault="000A2FD4" w:rsidP="000A2FD4">
      <w:pPr>
        <w:pStyle w:val="a3"/>
        <w:rPr>
          <w:rtl/>
        </w:rPr>
      </w:pPr>
      <w:r w:rsidRPr="000A2FD4">
        <w:rPr>
          <w:rtl/>
        </w:rPr>
        <w:t xml:space="preserve">(ד) </w:t>
      </w:r>
      <w:proofErr w:type="spellStart"/>
      <w:r w:rsidRPr="000A2FD4">
        <w:rPr>
          <w:rtl/>
        </w:rPr>
        <w:t>יֻקַּֽח</w:t>
      </w:r>
      <w:proofErr w:type="spellEnd"/>
      <w:r w:rsidRPr="000A2FD4">
        <w:rPr>
          <w:rtl/>
        </w:rPr>
        <w:t>־נָ֣א מְעַט־מַ֔יִם וְרַחֲצ֖וּ רַגְלֵיכֶ֑ם וְהִֽשָּׁעֲנ֖וּ תַּ֥חַת הָעֵֽץ:</w:t>
      </w:r>
    </w:p>
    <w:p w:rsidR="000A2FD4" w:rsidRPr="000A2FD4" w:rsidRDefault="000A2FD4" w:rsidP="000A2FD4">
      <w:pPr>
        <w:pStyle w:val="a3"/>
        <w:rPr>
          <w:rtl/>
        </w:rPr>
      </w:pPr>
      <w:r w:rsidRPr="000A2FD4">
        <w:rPr>
          <w:rtl/>
        </w:rPr>
        <w:t>(ה) וְאֶקְחָ֨ה פַת־לֶ֜חֶם וְסַעֲד֤וּ לִבְּכֶם֙ אַחַ֣ר תַּעֲבֹ֔רוּ כִּֽי־עַל־כֵּ֥ן עֲבַרְתֶּ֖ם עַֽל־עַבְדְּכֶ֑ם וַיֹּ֣אמְר֔וּ כֵּ֥ן תַּעֲשֶׂ֖ה כַּאֲשֶׁ֥ר דִּבַּֽרְתָּ:</w:t>
      </w:r>
    </w:p>
    <w:p w:rsidR="000A2FD4" w:rsidRPr="000A2FD4" w:rsidRDefault="000A2FD4" w:rsidP="000A2FD4">
      <w:pPr>
        <w:pStyle w:val="a3"/>
        <w:rPr>
          <w:rtl/>
        </w:rPr>
      </w:pPr>
      <w:r w:rsidRPr="000A2FD4">
        <w:rPr>
          <w:rtl/>
        </w:rPr>
        <w:t xml:space="preserve">(ו) וַיְמַהֵ֧ר אַבְרָהָ֛ם הָאֹ֖הֱלָה אֶל־שָׂרָ֑ה וַיֹּ֗אמֶר מַהֲרִ֞י שְׁלֹ֤שׁ </w:t>
      </w:r>
      <w:proofErr w:type="spellStart"/>
      <w:r w:rsidRPr="000A2FD4">
        <w:rPr>
          <w:rtl/>
        </w:rPr>
        <w:t>סְאִים֙</w:t>
      </w:r>
      <w:proofErr w:type="spellEnd"/>
      <w:r w:rsidRPr="000A2FD4">
        <w:rPr>
          <w:rtl/>
        </w:rPr>
        <w:t xml:space="preserve"> קֶ֣מַח </w:t>
      </w:r>
      <w:proofErr w:type="spellStart"/>
      <w:r w:rsidRPr="000A2FD4">
        <w:rPr>
          <w:rtl/>
        </w:rPr>
        <w:t>סֹ֔לֶת</w:t>
      </w:r>
      <w:proofErr w:type="spellEnd"/>
      <w:r w:rsidRPr="000A2FD4">
        <w:rPr>
          <w:rtl/>
        </w:rPr>
        <w:t xml:space="preserve"> ל֖וּשִׁי וַעֲשִׂ֥י עֻגֽוֹת:</w:t>
      </w:r>
    </w:p>
    <w:p w:rsidR="000A2FD4" w:rsidRPr="000A2FD4" w:rsidRDefault="000A2FD4" w:rsidP="000A2FD4">
      <w:pPr>
        <w:pStyle w:val="a3"/>
        <w:rPr>
          <w:rtl/>
        </w:rPr>
      </w:pPr>
      <w:r w:rsidRPr="000A2FD4">
        <w:rPr>
          <w:rtl/>
        </w:rPr>
        <w:t xml:space="preserve">(ז) וְאֶל־הַבָּקָ֖ר רָ֣ץ אַבְרָהָ֑ם </w:t>
      </w:r>
      <w:proofErr w:type="spellStart"/>
      <w:r w:rsidRPr="000A2FD4">
        <w:rPr>
          <w:rtl/>
        </w:rPr>
        <w:t>וַיִּקַּ֨ח</w:t>
      </w:r>
      <w:proofErr w:type="spellEnd"/>
      <w:r w:rsidRPr="000A2FD4">
        <w:rPr>
          <w:rtl/>
        </w:rPr>
        <w:t xml:space="preserve"> בֶּן־בָּקָ֜ר רַ֤ךְ וָטוֹב֙ </w:t>
      </w:r>
      <w:proofErr w:type="spellStart"/>
      <w:r w:rsidRPr="000A2FD4">
        <w:rPr>
          <w:rtl/>
        </w:rPr>
        <w:t>וַיִּתֵּ֣ן</w:t>
      </w:r>
      <w:proofErr w:type="spellEnd"/>
      <w:r w:rsidRPr="000A2FD4">
        <w:rPr>
          <w:rtl/>
        </w:rPr>
        <w:t xml:space="preserve"> אֶל־הַנַּ֔עַר וַיְמַהֵ֖ר לַעֲשׂ֥וֹת אֹתֽוֹ:</w:t>
      </w:r>
    </w:p>
    <w:p w:rsidR="000A2FD4" w:rsidRPr="000A2FD4" w:rsidRDefault="000A2FD4" w:rsidP="000A2FD4">
      <w:pPr>
        <w:pStyle w:val="a3"/>
        <w:rPr>
          <w:rtl/>
        </w:rPr>
      </w:pPr>
      <w:r w:rsidRPr="000A2FD4">
        <w:rPr>
          <w:rtl/>
        </w:rPr>
        <w:t xml:space="preserve">(ח) </w:t>
      </w:r>
      <w:proofErr w:type="spellStart"/>
      <w:r w:rsidRPr="000A2FD4">
        <w:rPr>
          <w:rtl/>
        </w:rPr>
        <w:t>וַיִּקַּ֨ח</w:t>
      </w:r>
      <w:proofErr w:type="spellEnd"/>
      <w:r w:rsidRPr="000A2FD4">
        <w:rPr>
          <w:rtl/>
        </w:rPr>
        <w:t xml:space="preserve"> חֶמְאָ֜ה וְחָלָ֗ב וּבֶן־הַבָּקָר֙ אֲשֶׁ֣ר עָשָׂ֔ה </w:t>
      </w:r>
      <w:proofErr w:type="spellStart"/>
      <w:r w:rsidRPr="000A2FD4">
        <w:rPr>
          <w:rtl/>
        </w:rPr>
        <w:t>וַיִּתֵּ֖ן</w:t>
      </w:r>
      <w:proofErr w:type="spellEnd"/>
      <w:r w:rsidRPr="000A2FD4">
        <w:rPr>
          <w:rtl/>
        </w:rPr>
        <w:t xml:space="preserve"> לִפְנֵיהֶ֑ם וְהֽוּא־עֹמֵ֧ד עֲלֵיהֶ֛ם תַּ֥חַת הָעֵ֖ץ וַיֹּאכֵֽלוּ:</w:t>
      </w:r>
    </w:p>
    <w:p w:rsidR="000A2FD4" w:rsidRPr="000A2FD4" w:rsidRDefault="000A2FD4" w:rsidP="000A2FD4">
      <w:pPr>
        <w:pStyle w:val="a3"/>
        <w:rPr>
          <w:rtl/>
        </w:rPr>
      </w:pPr>
      <w:r w:rsidRPr="000A2FD4">
        <w:rPr>
          <w:rtl/>
        </w:rPr>
        <w:t>(ט) וַיֹּאמְר֣וּ אֵלָ֔יו אַיֵּ֖ה שָׂרָ֣ה אִשְׁתֶּ֑ךָ וַיֹּ֖אמֶר הִנֵּ֥ה בָאֹֽהֶל:</w:t>
      </w:r>
    </w:p>
    <w:p w:rsidR="000A2FD4" w:rsidRPr="000A2FD4" w:rsidRDefault="000A2FD4" w:rsidP="000A2FD4">
      <w:pPr>
        <w:pStyle w:val="a3"/>
        <w:rPr>
          <w:rtl/>
        </w:rPr>
      </w:pPr>
      <w:r w:rsidRPr="000A2FD4">
        <w:rPr>
          <w:rtl/>
        </w:rPr>
        <w:t>(י) וַיֹּ֗אמֶר שׁ֣וֹב אָשׁ֤וּב אֵלֶ֙יךָ֙ כָּעֵ֣ת חַיָּ֔ה וְהִנֵּה־בֵ֖ן לְשָׂרָ֣ה אִשְׁתֶּ֑ךָ וְשָׂרָ֥ה שֹׁמַ֛עַת פֶּ֥תַח הָאֹ֖הֶל וְה֥וּא אַחֲרָֽיו:</w:t>
      </w:r>
    </w:p>
    <w:p w:rsidR="000A2FD4" w:rsidRPr="000A2FD4" w:rsidRDefault="000A2FD4" w:rsidP="000A2FD4">
      <w:pPr>
        <w:pStyle w:val="a3"/>
        <w:rPr>
          <w:rtl/>
        </w:rPr>
      </w:pPr>
      <w:r w:rsidRPr="000A2FD4">
        <w:rPr>
          <w:rtl/>
        </w:rPr>
        <w:t>(יא) וְאַבְרָהָ֤ם וְשָׂרָה֙ זְקֵנִ֔ים בָּאִ֖ים בַּיָּמִ֑ים חָדַל֙ לִהְי֣וֹת לְשָׂרָ֔ה אֹ֖רַח כַּנָּשִֽׁים:</w:t>
      </w:r>
    </w:p>
    <w:p w:rsidR="000A2FD4" w:rsidRPr="000A2FD4" w:rsidRDefault="000A2FD4" w:rsidP="000A2FD4">
      <w:pPr>
        <w:pStyle w:val="a3"/>
        <w:rPr>
          <w:rtl/>
        </w:rPr>
      </w:pPr>
      <w:r w:rsidRPr="000A2FD4">
        <w:rPr>
          <w:rtl/>
        </w:rPr>
        <w:t>(</w:t>
      </w:r>
      <w:proofErr w:type="spellStart"/>
      <w:r w:rsidRPr="000A2FD4">
        <w:rPr>
          <w:rtl/>
        </w:rPr>
        <w:t>יב</w:t>
      </w:r>
      <w:proofErr w:type="spellEnd"/>
      <w:r w:rsidRPr="000A2FD4">
        <w:rPr>
          <w:rtl/>
        </w:rPr>
        <w:t xml:space="preserve">) וַתִּצְחַ֥ק שָׂרָ֖ה בְּקִרְבָּ֣הּ </w:t>
      </w:r>
      <w:proofErr w:type="spellStart"/>
      <w:r w:rsidRPr="000A2FD4">
        <w:rPr>
          <w:rtl/>
        </w:rPr>
        <w:t>לֵאמֹ֑ר</w:t>
      </w:r>
      <w:proofErr w:type="spellEnd"/>
      <w:r w:rsidRPr="000A2FD4">
        <w:rPr>
          <w:rtl/>
        </w:rPr>
        <w:t xml:space="preserve"> אַחֲרֵ֤י בְלֹתִי֙ </w:t>
      </w:r>
      <w:proofErr w:type="spellStart"/>
      <w:r w:rsidRPr="000A2FD4">
        <w:rPr>
          <w:rtl/>
        </w:rPr>
        <w:t>הָֽיְתָה</w:t>
      </w:r>
      <w:proofErr w:type="spellEnd"/>
      <w:r w:rsidRPr="000A2FD4">
        <w:rPr>
          <w:rtl/>
        </w:rPr>
        <w:t>־לִּ֣י עֶדְנָ֔ה וַֽאדֹנִ֖י זָקֵֽן:</w:t>
      </w:r>
    </w:p>
    <w:p w:rsidR="000A2FD4" w:rsidRPr="000A2FD4" w:rsidRDefault="000A2FD4" w:rsidP="000A2FD4">
      <w:pPr>
        <w:pStyle w:val="a3"/>
        <w:rPr>
          <w:rtl/>
        </w:rPr>
      </w:pPr>
      <w:r w:rsidRPr="000A2FD4">
        <w:rPr>
          <w:rtl/>
        </w:rPr>
        <w:t>(</w:t>
      </w:r>
      <w:proofErr w:type="spellStart"/>
      <w:r w:rsidRPr="000A2FD4">
        <w:rPr>
          <w:rtl/>
        </w:rPr>
        <w:t>יג</w:t>
      </w:r>
      <w:proofErr w:type="spellEnd"/>
      <w:r w:rsidRPr="000A2FD4">
        <w:rPr>
          <w:rtl/>
        </w:rPr>
        <w:t xml:space="preserve">) וַיֹּ֥אמֶר </w:t>
      </w:r>
      <w:proofErr w:type="spellStart"/>
      <w:r w:rsidRPr="000A2FD4">
        <w:rPr>
          <w:rtl/>
        </w:rPr>
        <w:t>יְקֹוָ֖ק</w:t>
      </w:r>
      <w:proofErr w:type="spellEnd"/>
      <w:r w:rsidRPr="000A2FD4">
        <w:rPr>
          <w:rtl/>
        </w:rPr>
        <w:t xml:space="preserve"> אֶל־אַבְרָהָ֑ם לָ֣מָּה זֶּה֩ צָחֲקָ֨ה שָׂרָ֜ה </w:t>
      </w:r>
      <w:proofErr w:type="spellStart"/>
      <w:r w:rsidRPr="000A2FD4">
        <w:rPr>
          <w:rtl/>
        </w:rPr>
        <w:t>לֵאמֹ֗ר</w:t>
      </w:r>
      <w:proofErr w:type="spellEnd"/>
      <w:r w:rsidRPr="000A2FD4">
        <w:rPr>
          <w:rtl/>
        </w:rPr>
        <w:t xml:space="preserve"> הַאַ֥ף אֻמְנָ֛ם אֵלֵ֖ד וַאֲנִ֥י זָקַֽנְתִּי:</w:t>
      </w:r>
    </w:p>
    <w:p w:rsidR="000A2FD4" w:rsidRPr="000A2FD4" w:rsidRDefault="000A2FD4" w:rsidP="000A2FD4">
      <w:pPr>
        <w:pStyle w:val="a3"/>
        <w:rPr>
          <w:rtl/>
        </w:rPr>
      </w:pPr>
      <w:r w:rsidRPr="000A2FD4">
        <w:rPr>
          <w:rtl/>
        </w:rPr>
        <w:t xml:space="preserve">(יד) </w:t>
      </w:r>
      <w:proofErr w:type="spellStart"/>
      <w:r w:rsidRPr="000A2FD4">
        <w:rPr>
          <w:rtl/>
        </w:rPr>
        <w:t>הֲיִפָּלֵ֥א</w:t>
      </w:r>
      <w:proofErr w:type="spellEnd"/>
      <w:r w:rsidRPr="000A2FD4">
        <w:rPr>
          <w:rtl/>
        </w:rPr>
        <w:t xml:space="preserve"> </w:t>
      </w:r>
      <w:proofErr w:type="spellStart"/>
      <w:r w:rsidRPr="000A2FD4">
        <w:rPr>
          <w:rtl/>
        </w:rPr>
        <w:t>מֵיְקֹוָ֖ק</w:t>
      </w:r>
      <w:proofErr w:type="spellEnd"/>
      <w:r w:rsidRPr="000A2FD4">
        <w:rPr>
          <w:rtl/>
        </w:rPr>
        <w:t xml:space="preserve"> דָּבָ֑ר לַמּוֹעֵ֞ד אָשׁ֥וּב אֵלֶ֛יךָ כָּעֵ֥ת חַיָּ֖ה וּלְשָׂרָ֥ה בֵֽן:</w:t>
      </w:r>
    </w:p>
    <w:p w:rsidR="00634FB7" w:rsidRPr="000A2FD4" w:rsidRDefault="000A2FD4" w:rsidP="00EB2B34">
      <w:pPr>
        <w:pStyle w:val="a3"/>
        <w:rPr>
          <w:rFonts w:hint="cs"/>
          <w:rtl/>
        </w:rPr>
      </w:pPr>
      <w:r w:rsidRPr="000A2FD4">
        <w:rPr>
          <w:rtl/>
        </w:rPr>
        <w:t>(</w:t>
      </w:r>
      <w:proofErr w:type="spellStart"/>
      <w:r w:rsidRPr="000A2FD4">
        <w:rPr>
          <w:rtl/>
        </w:rPr>
        <w:t>טו</w:t>
      </w:r>
      <w:proofErr w:type="spellEnd"/>
      <w:r w:rsidRPr="000A2FD4">
        <w:rPr>
          <w:rtl/>
        </w:rPr>
        <w:t xml:space="preserve">) וַתְּכַחֵ֨שׁ שָׂרָ֧ה׀ </w:t>
      </w:r>
      <w:proofErr w:type="spellStart"/>
      <w:r w:rsidRPr="000A2FD4">
        <w:rPr>
          <w:rtl/>
        </w:rPr>
        <w:t>לֵאמֹ֛ר</w:t>
      </w:r>
      <w:proofErr w:type="spellEnd"/>
      <w:r w:rsidRPr="000A2FD4">
        <w:rPr>
          <w:rtl/>
        </w:rPr>
        <w:t xml:space="preserve"> לֹ֥א צָחַ֖קְתִּי כִּ֣י׀ יָרֵ֑אָה וַיֹּ֥אמֶר׀ לֹ֖א כִּ֥י צָחָֽקְתְּ:</w:t>
      </w:r>
    </w:p>
    <w:p w:rsidR="00634FB7" w:rsidRDefault="00634FB7" w:rsidP="001349D9">
      <w:pPr>
        <w:pStyle w:val="a3"/>
        <w:rPr>
          <w:rFonts w:hint="cs"/>
          <w:b/>
          <w:bCs/>
          <w:rtl/>
        </w:rPr>
      </w:pPr>
    </w:p>
    <w:p w:rsidR="000A2FD4" w:rsidRPr="00E005B7" w:rsidRDefault="000A2FD4" w:rsidP="000A2FD4">
      <w:pPr>
        <w:pStyle w:val="a3"/>
        <w:rPr>
          <w:b/>
          <w:bCs/>
          <w:rtl/>
        </w:rPr>
      </w:pPr>
      <w:r w:rsidRPr="00E005B7">
        <w:rPr>
          <w:b/>
          <w:bCs/>
          <w:rtl/>
        </w:rPr>
        <w:t xml:space="preserve">אורחים ופוריות – </w:t>
      </w:r>
      <w:proofErr w:type="spellStart"/>
      <w:r w:rsidRPr="00E005B7">
        <w:rPr>
          <w:b/>
          <w:bCs/>
          <w:rtl/>
        </w:rPr>
        <w:t>הר"י</w:t>
      </w:r>
      <w:proofErr w:type="spellEnd"/>
      <w:r w:rsidRPr="00E005B7">
        <w:rPr>
          <w:b/>
          <w:bCs/>
          <w:rtl/>
        </w:rPr>
        <w:t xml:space="preserve"> גינזבורג, ברית הנישואין, </w:t>
      </w:r>
      <w:proofErr w:type="spellStart"/>
      <w:r w:rsidRPr="00E005B7">
        <w:rPr>
          <w:b/>
          <w:bCs/>
          <w:rtl/>
        </w:rPr>
        <w:t>עמ</w:t>
      </w:r>
      <w:proofErr w:type="spellEnd"/>
      <w:r w:rsidRPr="00E005B7">
        <w:rPr>
          <w:b/>
          <w:bCs/>
          <w:rtl/>
        </w:rPr>
        <w:t>' מט</w:t>
      </w:r>
    </w:p>
    <w:p w:rsidR="00634FB7" w:rsidRDefault="000A2FD4" w:rsidP="00EB2B34">
      <w:pPr>
        <w:pStyle w:val="a3"/>
        <w:rPr>
          <w:rFonts w:hint="cs"/>
          <w:b/>
          <w:bCs/>
          <w:rtl/>
        </w:rPr>
      </w:pPr>
      <w:r w:rsidRPr="00E005B7">
        <w:rPr>
          <w:rtl/>
        </w:rPr>
        <w:t xml:space="preserve">...ביהדות מזוהה הבית עם האישה – עקרת מל' עיקר הבית. כשם שיחסי האישות צריכים להיות מקודשים, כך צריך להיות גם הבית הגשמי שבו דרים בני הזוג...לעומת זאת חשוב ביותר לסלק מן הבית ספרי כפירה ופריצות וכיו"ב. לעצם נוכחותם של ספרים כאלה, עלולה להיות השפעה שלילית ממשית על האישה...גם להכנסת אורחים נודעת חשיבות בריבוי קדושת הבית. חז"ל אמרו 'גדולה הכנסת אורחים יותר מקבלת פני השכינה'. הקבלת פני השכינה מסמלת את חיי הצוותא הפרטיים של איש ואשתו, ללא הפרעה כאשר אינם מוטרדים באורחים. ובכל זאת גדולה הכנסת אורחים אף שהיא מפריעה לאותה אינטימיות. כפי שמבואר בחסידות, כל אורח הוא עצמו ניצוץ השכינה, שהיא כאמור הדרגה הרוחנית המשתייכת לאישה ולתשוקת נשמתה, לבעלה. מכאן, שהכנסת אורחים מגדילה את פוריות האישה התלויה בהעלאת 'מיין </w:t>
      </w:r>
      <w:proofErr w:type="spellStart"/>
      <w:r w:rsidRPr="00E005B7">
        <w:rPr>
          <w:rtl/>
        </w:rPr>
        <w:t>נוקבין</w:t>
      </w:r>
      <w:proofErr w:type="spellEnd"/>
      <w:r w:rsidRPr="00E005B7">
        <w:rPr>
          <w:rtl/>
        </w:rPr>
        <w:t xml:space="preserve">'....התגברות ההעלאה של </w:t>
      </w:r>
      <w:proofErr w:type="spellStart"/>
      <w:r w:rsidRPr="00E005B7">
        <w:rPr>
          <w:rtl/>
        </w:rPr>
        <w:t>ה'מיין</w:t>
      </w:r>
      <w:proofErr w:type="spellEnd"/>
      <w:r w:rsidRPr="00E005B7">
        <w:rPr>
          <w:rtl/>
        </w:rPr>
        <w:t xml:space="preserve"> </w:t>
      </w:r>
      <w:proofErr w:type="spellStart"/>
      <w:r w:rsidRPr="00E005B7">
        <w:rPr>
          <w:rtl/>
        </w:rPr>
        <w:t>נוקבין</w:t>
      </w:r>
      <w:proofErr w:type="spellEnd"/>
      <w:r w:rsidRPr="00E005B7">
        <w:rPr>
          <w:rtl/>
        </w:rPr>
        <w:t>' נעשית ע"י בירורי הניצוצות השייכים לנשמת האישה שבנשמות האורחים..לכן הכנסת האורחים היא סגולה לפרי בטן. אנו רואים זאת בתורה עצמה, כי רק לאחר שאברהם ושרה קיימו מצוות הכנסת אורחים...זכו לבן...</w:t>
      </w:r>
    </w:p>
    <w:p w:rsidR="00634FB7" w:rsidRDefault="00634FB7" w:rsidP="001349D9">
      <w:pPr>
        <w:pStyle w:val="a3"/>
        <w:rPr>
          <w:b/>
          <w:bCs/>
          <w:rtl/>
        </w:rPr>
      </w:pPr>
    </w:p>
    <w:p w:rsidR="001349D9" w:rsidRPr="00E005B7" w:rsidRDefault="001349D9" w:rsidP="001349D9">
      <w:pPr>
        <w:pStyle w:val="a3"/>
        <w:rPr>
          <w:b/>
          <w:bCs/>
          <w:rtl/>
        </w:rPr>
      </w:pPr>
      <w:r>
        <w:rPr>
          <w:rFonts w:hint="cs"/>
          <w:b/>
          <w:bCs/>
          <w:rtl/>
        </w:rPr>
        <w:t xml:space="preserve">אור סובב אור פנימי - </w:t>
      </w:r>
      <w:r w:rsidRPr="00E005B7">
        <w:rPr>
          <w:b/>
          <w:bCs/>
          <w:rtl/>
        </w:rPr>
        <w:t xml:space="preserve">פלח הרימון, ר' הלל </w:t>
      </w:r>
      <w:proofErr w:type="spellStart"/>
      <w:r w:rsidRPr="00E005B7">
        <w:rPr>
          <w:b/>
          <w:bCs/>
          <w:rtl/>
        </w:rPr>
        <w:t>מפאריטש</w:t>
      </w:r>
      <w:proofErr w:type="spellEnd"/>
      <w:r w:rsidRPr="00E005B7">
        <w:rPr>
          <w:b/>
          <w:bCs/>
          <w:rtl/>
        </w:rPr>
        <w:t>, תולדות עז</w:t>
      </w:r>
    </w:p>
    <w:p w:rsidR="001349D9" w:rsidRPr="00E005B7" w:rsidRDefault="001349D9" w:rsidP="0008203C">
      <w:pPr>
        <w:pStyle w:val="a3"/>
        <w:rPr>
          <w:rtl/>
        </w:rPr>
      </w:pPr>
      <w:r w:rsidRPr="00E005B7">
        <w:rPr>
          <w:rtl/>
        </w:rPr>
        <w:t xml:space="preserve">ג. ועם זה יובן הטעם למה שנזכר למעלה שעיקר </w:t>
      </w:r>
      <w:r w:rsidR="0008203C">
        <w:rPr>
          <w:rtl/>
        </w:rPr>
        <w:t>עבודת אברהם הייתה בהכנסת אורחים</w:t>
      </w:r>
      <w:r w:rsidR="0008203C">
        <w:rPr>
          <w:rFonts w:hint="cs"/>
          <w:rtl/>
        </w:rPr>
        <w:t>...</w:t>
      </w:r>
      <w:r w:rsidRPr="00E005B7">
        <w:rPr>
          <w:rtl/>
        </w:rPr>
        <w:t xml:space="preserve">ולכן היה עבודת אברהם להמשיך בחי' אור </w:t>
      </w:r>
      <w:proofErr w:type="spellStart"/>
      <w:r w:rsidRPr="00E005B7">
        <w:rPr>
          <w:rtl/>
        </w:rPr>
        <w:t>הסוכ"ע</w:t>
      </w:r>
      <w:proofErr w:type="spellEnd"/>
      <w:r w:rsidRPr="00E005B7">
        <w:rPr>
          <w:rtl/>
        </w:rPr>
        <w:t xml:space="preserve"> במידת המלכות </w:t>
      </w:r>
      <w:proofErr w:type="spellStart"/>
      <w:r w:rsidRPr="00E005B7">
        <w:rPr>
          <w:rtl/>
        </w:rPr>
        <w:t>דאצילות</w:t>
      </w:r>
      <w:proofErr w:type="spellEnd"/>
      <w:r w:rsidRPr="00E005B7">
        <w:rPr>
          <w:rtl/>
        </w:rPr>
        <w:t xml:space="preserve"> ברוחניות ע"י אור האהבה שלו. ובגשמיות ע"י הכנסת אורחים לתוך ביתו כנ"ל...וזה 'גדולה הכנסת אורחים </w:t>
      </w:r>
      <w:proofErr w:type="spellStart"/>
      <w:r w:rsidRPr="00E005B7">
        <w:rPr>
          <w:rtl/>
        </w:rPr>
        <w:t>וכו</w:t>
      </w:r>
      <w:proofErr w:type="spellEnd"/>
      <w:r w:rsidRPr="00E005B7">
        <w:rPr>
          <w:rtl/>
        </w:rPr>
        <w:t xml:space="preserve">' כי שכינה הוא בחינת </w:t>
      </w:r>
      <w:proofErr w:type="spellStart"/>
      <w:r w:rsidRPr="00E005B7">
        <w:rPr>
          <w:rtl/>
        </w:rPr>
        <w:t>ממכ"ע</w:t>
      </w:r>
      <w:proofErr w:type="spellEnd"/>
      <w:r w:rsidRPr="00E005B7">
        <w:rPr>
          <w:rtl/>
        </w:rPr>
        <w:t xml:space="preserve"> והוא בחינת אור המאיר בחיצוניות העולמות..והקבלת פני השכינה היינו פנימיות הממלא...אבל הכנסת אורחים היינו המשכת אורח צדיקים הנ"ל, ע"י האהבה לה' לדבקה בו בבחינת אחד אחדות הפשוטה, וע"י הכנסת אורחים בגשמיות  כנ"ל הוא ממשיך אור הסובב שהוא למעלה הרבה אפילו מפנימיות הממלא לתוך בחינת המלכות </w:t>
      </w:r>
      <w:proofErr w:type="spellStart"/>
      <w:r w:rsidRPr="00E005B7">
        <w:rPr>
          <w:rtl/>
        </w:rPr>
        <w:t>דאצילות</w:t>
      </w:r>
      <w:proofErr w:type="spellEnd"/>
      <w:r w:rsidRPr="00E005B7">
        <w:rPr>
          <w:rtl/>
        </w:rPr>
        <w:t>...</w:t>
      </w:r>
    </w:p>
    <w:p w:rsidR="001349D9" w:rsidRDefault="001349D9" w:rsidP="001349D9">
      <w:pPr>
        <w:pStyle w:val="a3"/>
        <w:rPr>
          <w:rFonts w:hint="cs"/>
          <w:b/>
          <w:bCs/>
          <w:rtl/>
        </w:rPr>
      </w:pPr>
    </w:p>
    <w:p w:rsidR="001349D9" w:rsidRPr="001A1E3A" w:rsidRDefault="001349D9" w:rsidP="001349D9">
      <w:pPr>
        <w:pStyle w:val="a3"/>
        <w:rPr>
          <w:rFonts w:cstheme="majorBidi"/>
          <w:rtl/>
        </w:rPr>
      </w:pPr>
      <w:r w:rsidRPr="001A1E3A">
        <w:rPr>
          <w:rFonts w:cstheme="majorBidi"/>
          <w:b/>
          <w:bCs/>
          <w:rtl/>
        </w:rPr>
        <w:lastRenderedPageBreak/>
        <w:t xml:space="preserve">נפש מקפת ונפש פנימית – </w:t>
      </w:r>
      <w:proofErr w:type="spellStart"/>
      <w:r w:rsidRPr="001A1E3A">
        <w:rPr>
          <w:rFonts w:cstheme="majorBidi"/>
          <w:b/>
          <w:bCs/>
          <w:rtl/>
        </w:rPr>
        <w:t>האריז"ל</w:t>
      </w:r>
      <w:proofErr w:type="spellEnd"/>
      <w:r>
        <w:rPr>
          <w:rFonts w:cstheme="majorBidi" w:hint="cs"/>
          <w:b/>
          <w:bCs/>
          <w:rtl/>
        </w:rPr>
        <w:t xml:space="preserve"> </w:t>
      </w:r>
      <w:r w:rsidRPr="0030567F">
        <w:rPr>
          <w:rFonts w:cstheme="majorBidi"/>
          <w:b/>
          <w:bCs/>
          <w:rtl/>
        </w:rPr>
        <w:t xml:space="preserve">שער הגלגולים, הקדמה </w:t>
      </w:r>
      <w:proofErr w:type="spellStart"/>
      <w:r w:rsidRPr="0030567F">
        <w:rPr>
          <w:rFonts w:cstheme="majorBidi"/>
          <w:b/>
          <w:bCs/>
          <w:rtl/>
        </w:rPr>
        <w:t>לט</w:t>
      </w:r>
      <w:proofErr w:type="spellEnd"/>
      <w:r w:rsidRPr="0030567F">
        <w:rPr>
          <w:rFonts w:cstheme="majorBidi"/>
          <w:b/>
          <w:bCs/>
          <w:rtl/>
        </w:rPr>
        <w:t>:</w:t>
      </w:r>
    </w:p>
    <w:p w:rsidR="001349D9" w:rsidRDefault="001349D9" w:rsidP="001349D9">
      <w:pPr>
        <w:pStyle w:val="a3"/>
        <w:rPr>
          <w:rFonts w:cstheme="majorBidi"/>
          <w:b/>
          <w:bCs/>
          <w:rtl/>
        </w:rPr>
      </w:pPr>
      <w:r w:rsidRPr="001A1E3A">
        <w:rPr>
          <w:rFonts w:cstheme="majorBidi"/>
          <w:rtl/>
        </w:rPr>
        <w:t xml:space="preserve">דע, אין לך צדיק וצדיק שאין לו ב' נשמות, כנזכר בזוהר בריש פרשת נח בתוספתא על נח </w:t>
      </w:r>
      <w:proofErr w:type="spellStart"/>
      <w:r w:rsidRPr="001A1E3A">
        <w:rPr>
          <w:rFonts w:cstheme="majorBidi"/>
          <w:rtl/>
        </w:rPr>
        <w:t>נח</w:t>
      </w:r>
      <w:proofErr w:type="spellEnd"/>
      <w:r w:rsidRPr="001A1E3A">
        <w:rPr>
          <w:rFonts w:cstheme="majorBidi"/>
          <w:rtl/>
        </w:rPr>
        <w:t xml:space="preserve">, משה </w:t>
      </w:r>
      <w:proofErr w:type="spellStart"/>
      <w:r w:rsidRPr="001A1E3A">
        <w:rPr>
          <w:rFonts w:cstheme="majorBidi"/>
          <w:rtl/>
        </w:rPr>
        <w:t>משה</w:t>
      </w:r>
      <w:proofErr w:type="spellEnd"/>
      <w:r w:rsidRPr="001A1E3A">
        <w:rPr>
          <w:rFonts w:cstheme="majorBidi"/>
          <w:rtl/>
        </w:rPr>
        <w:t xml:space="preserve">, שמואל </w:t>
      </w:r>
      <w:proofErr w:type="spellStart"/>
      <w:r w:rsidRPr="001A1E3A">
        <w:rPr>
          <w:rFonts w:cstheme="majorBidi"/>
          <w:rtl/>
        </w:rPr>
        <w:t>שמואל</w:t>
      </w:r>
      <w:proofErr w:type="spellEnd"/>
      <w:r w:rsidRPr="001A1E3A">
        <w:rPr>
          <w:rFonts w:cstheme="majorBidi"/>
          <w:rtl/>
        </w:rPr>
        <w:t xml:space="preserve">. וזה פירושו: כי הנה יש בחי' </w:t>
      </w:r>
      <w:r w:rsidRPr="001A1E3A">
        <w:rPr>
          <w:rFonts w:cstheme="majorBidi"/>
          <w:u w:val="single"/>
          <w:rtl/>
        </w:rPr>
        <w:t>נשמה פנימית</w:t>
      </w:r>
      <w:r w:rsidRPr="001A1E3A">
        <w:rPr>
          <w:rFonts w:cstheme="majorBidi"/>
          <w:rtl/>
        </w:rPr>
        <w:t xml:space="preserve">, וזו באה עם האדם. ויש </w:t>
      </w:r>
      <w:r w:rsidRPr="001A1E3A">
        <w:rPr>
          <w:rFonts w:cstheme="majorBidi"/>
          <w:u w:val="single"/>
          <w:rtl/>
        </w:rPr>
        <w:t>נשמה מקפת</w:t>
      </w:r>
      <w:r w:rsidRPr="001A1E3A">
        <w:rPr>
          <w:rFonts w:cstheme="majorBidi"/>
          <w:rtl/>
        </w:rPr>
        <w:t>, וזו עומדת על ראש האדם בעולם העליון למעלה, וזו בחי' צינור שיש לאדם לעלות למעלה, ע"י אותה הנשמה.</w:t>
      </w:r>
      <w:r>
        <w:rPr>
          <w:rFonts w:cstheme="majorBidi" w:hint="cs"/>
          <w:rtl/>
        </w:rPr>
        <w:t>..</w:t>
      </w:r>
      <w:r w:rsidRPr="001A1E3A">
        <w:rPr>
          <w:rFonts w:cstheme="majorBidi"/>
          <w:rtl/>
        </w:rPr>
        <w:t xml:space="preserve">אבל הצדיק, יש לו ב' נשמות קיימות, אחת </w:t>
      </w:r>
      <w:proofErr w:type="spellStart"/>
      <w:r w:rsidRPr="001A1E3A">
        <w:rPr>
          <w:rFonts w:cstheme="majorBidi"/>
          <w:rtl/>
        </w:rPr>
        <w:t>בבחי</w:t>
      </w:r>
      <w:proofErr w:type="spellEnd"/>
      <w:r w:rsidRPr="001A1E3A">
        <w:rPr>
          <w:rFonts w:cstheme="majorBidi"/>
          <w:rtl/>
        </w:rPr>
        <w:t xml:space="preserve">' מקיף, ואחת </w:t>
      </w:r>
      <w:proofErr w:type="spellStart"/>
      <w:r w:rsidRPr="001A1E3A">
        <w:rPr>
          <w:rFonts w:cstheme="majorBidi"/>
          <w:rtl/>
        </w:rPr>
        <w:t>בבחי</w:t>
      </w:r>
      <w:proofErr w:type="spellEnd"/>
      <w:r w:rsidRPr="001A1E3A">
        <w:rPr>
          <w:rFonts w:cstheme="majorBidi"/>
          <w:rtl/>
        </w:rPr>
        <w:t xml:space="preserve">' פנימית. </w:t>
      </w:r>
      <w:proofErr w:type="spellStart"/>
      <w:r w:rsidRPr="001A1E3A">
        <w:rPr>
          <w:rFonts w:cstheme="majorBidi"/>
          <w:rtl/>
        </w:rPr>
        <w:t>וז"ש</w:t>
      </w:r>
      <w:proofErr w:type="spellEnd"/>
      <w:r w:rsidRPr="001A1E3A">
        <w:rPr>
          <w:rFonts w:cstheme="majorBidi"/>
          <w:rtl/>
        </w:rPr>
        <w:t xml:space="preserve"> פרשת נח </w:t>
      </w:r>
      <w:proofErr w:type="spellStart"/>
      <w:r w:rsidRPr="001A1E3A">
        <w:rPr>
          <w:rFonts w:cstheme="majorBidi"/>
          <w:rtl/>
        </w:rPr>
        <w:t>ענין</w:t>
      </w:r>
      <w:proofErr w:type="spellEnd"/>
      <w:r w:rsidRPr="001A1E3A">
        <w:rPr>
          <w:rFonts w:cstheme="majorBidi"/>
          <w:rtl/>
        </w:rPr>
        <w:t xml:space="preserve"> נח </w:t>
      </w:r>
      <w:proofErr w:type="spellStart"/>
      <w:r w:rsidRPr="001A1E3A">
        <w:rPr>
          <w:rFonts w:cstheme="majorBidi"/>
          <w:rtl/>
        </w:rPr>
        <w:t>נח</w:t>
      </w:r>
      <w:proofErr w:type="spellEnd"/>
      <w:r w:rsidRPr="001A1E3A">
        <w:rPr>
          <w:rFonts w:cstheme="majorBidi"/>
          <w:rtl/>
        </w:rPr>
        <w:t xml:space="preserve"> </w:t>
      </w:r>
      <w:proofErr w:type="spellStart"/>
      <w:r w:rsidRPr="001A1E3A">
        <w:rPr>
          <w:rFonts w:cstheme="majorBidi"/>
          <w:rtl/>
        </w:rPr>
        <w:t>וכו',</w:t>
      </w:r>
      <w:proofErr w:type="spellEnd"/>
      <w:r w:rsidRPr="001A1E3A">
        <w:rPr>
          <w:rFonts w:cstheme="majorBidi"/>
          <w:rtl/>
        </w:rPr>
        <w:t xml:space="preserve"> שכל צדיק יש לו ב' נשמות. והנה דרך אותה הנשמה המקפת שיש לי, משם נמשך כל אור ושפע הנמשך לאלו החברים, מצד ההוא </w:t>
      </w:r>
      <w:proofErr w:type="spellStart"/>
      <w:r w:rsidRPr="001A1E3A">
        <w:rPr>
          <w:rFonts w:cstheme="majorBidi"/>
          <w:rtl/>
        </w:rPr>
        <w:t>רוחא</w:t>
      </w:r>
      <w:proofErr w:type="spellEnd"/>
      <w:r w:rsidRPr="001A1E3A">
        <w:rPr>
          <w:rFonts w:cstheme="majorBidi"/>
          <w:rtl/>
        </w:rPr>
        <w:t xml:space="preserve"> די הוא </w:t>
      </w:r>
      <w:proofErr w:type="spellStart"/>
      <w:r w:rsidRPr="001A1E3A">
        <w:rPr>
          <w:rFonts w:cstheme="majorBidi"/>
          <w:rtl/>
        </w:rPr>
        <w:t>בגוייהו</w:t>
      </w:r>
      <w:proofErr w:type="spellEnd"/>
      <w:r w:rsidRPr="001A1E3A">
        <w:rPr>
          <w:rFonts w:cstheme="majorBidi"/>
          <w:rtl/>
        </w:rPr>
        <w:t xml:space="preserve">, </w:t>
      </w:r>
      <w:proofErr w:type="spellStart"/>
      <w:r w:rsidRPr="001A1E3A">
        <w:rPr>
          <w:rFonts w:cstheme="majorBidi"/>
          <w:rtl/>
        </w:rPr>
        <w:t>והכל</w:t>
      </w:r>
      <w:proofErr w:type="spellEnd"/>
      <w:r w:rsidRPr="001A1E3A">
        <w:rPr>
          <w:rFonts w:cstheme="majorBidi"/>
          <w:rtl/>
        </w:rPr>
        <w:t xml:space="preserve"> עובר דרך שם, ואז מאותו האור שלהם, הנמשך להם דרך שם, נמשך אלי גם כן מאותו האור שלהם וחלק שלהם, אל נשמתי הפנימית. ולכן אני צריך ומוכרח להשתדל שיתוקנו על ידי, וילמדו על ידי. אבל בנשמה הפנימית שלי אין להם שתוף בה</w:t>
      </w:r>
      <w:r>
        <w:rPr>
          <w:rFonts w:cstheme="majorBidi"/>
          <w:rtl/>
        </w:rPr>
        <w:t>, ולכן אינם יונקים מן המצות שלי</w:t>
      </w:r>
      <w:r>
        <w:rPr>
          <w:rFonts w:cstheme="majorBidi" w:hint="cs"/>
          <w:rtl/>
        </w:rPr>
        <w:t>...</w:t>
      </w:r>
    </w:p>
    <w:p w:rsidR="001349D9" w:rsidRDefault="001349D9" w:rsidP="001349D9">
      <w:pPr>
        <w:pStyle w:val="a3"/>
        <w:rPr>
          <w:b/>
          <w:bCs/>
          <w:rtl/>
        </w:rPr>
      </w:pPr>
    </w:p>
    <w:p w:rsidR="001349D9" w:rsidRPr="00F8321F" w:rsidRDefault="001349D9" w:rsidP="001349D9">
      <w:pPr>
        <w:pStyle w:val="a3"/>
        <w:rPr>
          <w:b/>
          <w:bCs/>
          <w:sz w:val="14"/>
          <w:rtl/>
        </w:rPr>
      </w:pPr>
      <w:r w:rsidRPr="00F8321F">
        <w:rPr>
          <w:b/>
          <w:bCs/>
          <w:rtl/>
        </w:rPr>
        <w:t>הכנסת אורחים ופסיכואנליזה: תהיות ושאלות / מיכל בן-נפתלי</w:t>
      </w:r>
      <w:r w:rsidRPr="00F8321F">
        <w:rPr>
          <w:b/>
          <w:bCs/>
          <w:sz w:val="14"/>
          <w:rtl/>
        </w:rPr>
        <w:t> </w:t>
      </w:r>
    </w:p>
    <w:p w:rsidR="001349D9" w:rsidRDefault="0008203C" w:rsidP="0008203C">
      <w:pPr>
        <w:pStyle w:val="a3"/>
        <w:rPr>
          <w:sz w:val="14"/>
          <w:rtl/>
        </w:rPr>
      </w:pPr>
      <w:r>
        <w:rPr>
          <w:rFonts w:hint="cs"/>
          <w:sz w:val="14"/>
          <w:rtl/>
        </w:rPr>
        <w:t>...</w:t>
      </w:r>
      <w:r w:rsidR="001349D9" w:rsidRPr="00F8321F">
        <w:rPr>
          <w:sz w:val="14"/>
          <w:rtl/>
        </w:rPr>
        <w:t xml:space="preserve">בכל אופן, אני מכיר צעיר אחד, בעל בעת זמן, שהתנסה במשהו דומה </w:t>
      </w:r>
      <w:proofErr w:type="spellStart"/>
      <w:r w:rsidR="001349D9" w:rsidRPr="00F8321F">
        <w:rPr>
          <w:sz w:val="14"/>
          <w:rtl/>
        </w:rPr>
        <w:t>לפניקה</w:t>
      </w:r>
      <w:proofErr w:type="spellEnd"/>
      <w:r w:rsidR="001349D9" w:rsidRPr="00F8321F">
        <w:rPr>
          <w:sz w:val="14"/>
          <w:rtl/>
        </w:rPr>
        <w:t xml:space="preserve">, שעה שצפה לראשונה בסרטים מתוצרת בית, שצולמו שבועות אחדים קודם לידתו. הוא ראה עולם שלא נשתנה במאומה – אותו בית, אותם אנשים, ואז נתן אל לבו שהוא לא היה קיים שם בכלל, ואיש לא ביכה את העדרו. הוא קלט בחטף את מראה אמו, מנופפת בידה מחלון הקומה העליונה, ותנועה זרה זו הדריכה את מנוחתו, כביכול </w:t>
      </w:r>
      <w:proofErr w:type="spellStart"/>
      <w:r w:rsidR="001349D9" w:rsidRPr="00F8321F">
        <w:rPr>
          <w:sz w:val="14"/>
          <w:rtl/>
        </w:rPr>
        <w:t>היתה</w:t>
      </w:r>
      <w:proofErr w:type="spellEnd"/>
      <w:r w:rsidR="001349D9" w:rsidRPr="00F8321F">
        <w:rPr>
          <w:sz w:val="14"/>
          <w:rtl/>
        </w:rPr>
        <w:t xml:space="preserve"> זו איזו פרידה מסתורית. אבל מה שהפחיד אותו יותר מכל היה מראיה של עגלת תינוק חדשה לגמרי, שניצבה שם במבוא, שבעת נחת מעצמה, </w:t>
      </w:r>
      <w:proofErr w:type="spellStart"/>
      <w:r w:rsidR="001349D9" w:rsidRPr="00F8321F">
        <w:rPr>
          <w:sz w:val="14"/>
          <w:rtl/>
        </w:rPr>
        <w:t>מסיגת</w:t>
      </w:r>
      <w:proofErr w:type="spellEnd"/>
      <w:r w:rsidR="001349D9" w:rsidRPr="00F8321F">
        <w:rPr>
          <w:sz w:val="14"/>
          <w:rtl/>
        </w:rPr>
        <w:t xml:space="preserve"> גבול, כארון מתים. אפילו היא </w:t>
      </w:r>
      <w:proofErr w:type="spellStart"/>
      <w:r w:rsidR="001349D9" w:rsidRPr="00F8321F">
        <w:rPr>
          <w:sz w:val="14"/>
          <w:rtl/>
        </w:rPr>
        <w:t>היתה</w:t>
      </w:r>
      <w:proofErr w:type="spellEnd"/>
      <w:r w:rsidR="001349D9" w:rsidRPr="00F8321F">
        <w:rPr>
          <w:sz w:val="14"/>
          <w:rtl/>
        </w:rPr>
        <w:t xml:space="preserve"> ריקה, כמו נתפרדו עצמו</w:t>
      </w:r>
      <w:r>
        <w:rPr>
          <w:sz w:val="14"/>
          <w:rtl/>
        </w:rPr>
        <w:t>תיו שלו במהלכם המהופך של הדברים</w:t>
      </w:r>
      <w:r>
        <w:rPr>
          <w:rFonts w:hint="cs"/>
          <w:sz w:val="14"/>
          <w:rtl/>
        </w:rPr>
        <w:t>..</w:t>
      </w:r>
      <w:r w:rsidR="001349D9" w:rsidRPr="00F8321F">
        <w:rPr>
          <w:sz w:val="14"/>
          <w:rtl/>
        </w:rPr>
        <w:t xml:space="preserve">. </w:t>
      </w:r>
      <w:r w:rsidR="001349D9" w:rsidRPr="00F8321F">
        <w:rPr>
          <w:sz w:val="14"/>
          <w:rtl/>
        </w:rPr>
        <w:br/>
        <w:t xml:space="preserve"> בפתיחה המופלאה הזאת של "דַבֵּר, זיכרון" מאת </w:t>
      </w:r>
      <w:proofErr w:type="spellStart"/>
      <w:r w:rsidR="001349D9" w:rsidRPr="00F8321F">
        <w:rPr>
          <w:sz w:val="14"/>
          <w:rtl/>
        </w:rPr>
        <w:t>נאבקוב</w:t>
      </w:r>
      <w:proofErr w:type="spellEnd"/>
      <w:r w:rsidR="001349D9" w:rsidRPr="00F8321F">
        <w:rPr>
          <w:sz w:val="14"/>
          <w:rtl/>
        </w:rPr>
        <w:t xml:space="preserve">, התינוק הוא כמו אורח לרגע בבית שטרם נולד בו, בית בו עתיד היה להיוולד. הכול עתיד עוד להתרחש. אלא שהנוף המוכר הזה, עמו הוא נפגש כאן לראשונה, הנוף הקודם אפוא להתחלה שלו, אינו נוטע בו את רושם </w:t>
      </w:r>
      <w:proofErr w:type="spellStart"/>
      <w:r w:rsidR="001349D9" w:rsidRPr="00F8321F">
        <w:rPr>
          <w:sz w:val="14"/>
          <w:rtl/>
        </w:rPr>
        <w:t>רחשם</w:t>
      </w:r>
      <w:proofErr w:type="spellEnd"/>
      <w:r w:rsidR="001349D9" w:rsidRPr="00F8321F">
        <w:rPr>
          <w:sz w:val="14"/>
          <w:rtl/>
        </w:rPr>
        <w:t xml:space="preserve"> החיוני והבוטח של החיים הנרקמים. כאילו קדמה רוח הרפאים לרוח הבאה לעולם ועתידה </w:t>
      </w:r>
      <w:proofErr w:type="spellStart"/>
      <w:r w:rsidR="001349D9" w:rsidRPr="00F8321F">
        <w:rPr>
          <w:sz w:val="14"/>
          <w:rtl/>
        </w:rPr>
        <w:t>היתה</w:t>
      </w:r>
      <w:proofErr w:type="spellEnd"/>
      <w:r w:rsidR="001349D9" w:rsidRPr="00F8321F">
        <w:rPr>
          <w:sz w:val="14"/>
          <w:rtl/>
        </w:rPr>
        <w:t xml:space="preserve"> ללוותה חרישית מכאן ואילך. הבית, ביתו, המייחל לבואו כלבואו של משיח, אינו מזהה אותו. ועגלת התינוק, אותו בית-בתוך-בית שעתיד היה להעניק לו מנוחה וחסות, נדמית כארון מתים. היא אינה אלא רהיט המפגין לכאורה שלמות </w:t>
      </w:r>
      <w:proofErr w:type="spellStart"/>
      <w:r w:rsidR="001349D9" w:rsidRPr="00F8321F">
        <w:rPr>
          <w:sz w:val="14"/>
          <w:rtl/>
        </w:rPr>
        <w:t>חפצית</w:t>
      </w:r>
      <w:proofErr w:type="spellEnd"/>
      <w:r w:rsidR="001349D9" w:rsidRPr="00F8321F">
        <w:rPr>
          <w:sz w:val="14"/>
          <w:rtl/>
        </w:rPr>
        <w:t>, לא-</w:t>
      </w:r>
      <w:proofErr w:type="spellStart"/>
      <w:r w:rsidR="001349D9" w:rsidRPr="00F8321F">
        <w:rPr>
          <w:sz w:val="14"/>
          <w:rtl/>
        </w:rPr>
        <w:t>פונקציונלית</w:t>
      </w:r>
      <w:proofErr w:type="spellEnd"/>
      <w:r w:rsidR="001349D9" w:rsidRPr="00F8321F">
        <w:rPr>
          <w:sz w:val="14"/>
          <w:rtl/>
        </w:rPr>
        <w:t>, רהיט שטרם בואו של התינוק לעולם מכיל לא-כלום, מכיל את הלא-כלום, את האי-חיים, ומסיג אפוא את גבולו של הבית</w:t>
      </w:r>
      <w:r>
        <w:rPr>
          <w:rFonts w:hint="cs"/>
          <w:sz w:val="14"/>
          <w:rtl/>
        </w:rPr>
        <w:t>...</w:t>
      </w:r>
      <w:r w:rsidR="001349D9" w:rsidRPr="00F8321F">
        <w:rPr>
          <w:sz w:val="14"/>
          <w:rtl/>
        </w:rPr>
        <w:t xml:space="preserve"> </w:t>
      </w:r>
      <w:r w:rsidR="001349D9" w:rsidRPr="00F8321F">
        <w:rPr>
          <w:sz w:val="14"/>
          <w:rtl/>
        </w:rPr>
        <w:br/>
        <w:t> התינוק-האורח-בביתו-טרם-לידתו הוא אחת מאותן פיגורות בדויות המפעילות את המורכבות הנעוצה ברעיון הכנסת האורחים, המעסיק את הדיון הפילוסופי והפוליטי בן-זמננו, דיון שראשיתו בבית המשפחה, ואולי בגרעין המשפחה, והמשכו בחברה האזרחית ובמדינת הלאום, ובאופן שבו העתקת-המקום הטכנולוגית מכאן והגלובליזציה מכאן מערערות את הגבולות של המרחבים הללו ומטשטשות את הזהות החד-משמעית של דמות המארח ושל דמות האורח בהתאמה. אבל קווי המתאר של הדמויות טושטשו הלוא מימים ימימה. בתיאור הקלאסי של הכנסת האורחים, המארח הוא בעל הקניין, בעל הבית המציע לאורח קורת גג תוך שמירה על כללים כתובים ובלתי כתובים, האמורים לגרום לאורח לדעת את מקומו. הרגש כמו בבית, אומר המארח לאורח, כלומר הֱיה בביתי כאילו אתה בביתך, אבל הרי אינך בביתך כשם שאני בביתי. מערכת ההתניות המובלעת של האירוח מקבלת ניסוח משפטי ופוליטי מפורש שעה שמדובר בהקשרי הגירה וגלות, אנחנו מוצפים בדוגמאות של שרירות ואטימות לב.</w:t>
      </w:r>
      <w:r w:rsidR="001349D9">
        <w:rPr>
          <w:rFonts w:hint="cs"/>
          <w:sz w:val="14"/>
          <w:rtl/>
        </w:rPr>
        <w:t xml:space="preserve"> </w:t>
      </w:r>
      <w:r w:rsidR="001349D9" w:rsidRPr="00F8321F">
        <w:rPr>
          <w:sz w:val="14"/>
          <w:rtl/>
        </w:rPr>
        <w:t xml:space="preserve">בסוגיה זו מידי יום ביומו, בארץ ובעולם, וגם המקורות מגלים לנו תמונה מורכבת, הרחוקה לעתים מילין מן הנוסטלגיה המפויסת אל האתיקה של הגֵר. רות המואבייה, סמלה ותמציתה של הכנסת האורחים המקראית, מצופה </w:t>
      </w:r>
      <w:proofErr w:type="spellStart"/>
      <w:r w:rsidR="001349D9" w:rsidRPr="00F8321F">
        <w:rPr>
          <w:sz w:val="14"/>
          <w:rtl/>
        </w:rPr>
        <w:t>היתה</w:t>
      </w:r>
      <w:proofErr w:type="spellEnd"/>
      <w:r w:rsidR="001349D9" w:rsidRPr="00F8321F">
        <w:rPr>
          <w:sz w:val="14"/>
          <w:rtl/>
        </w:rPr>
        <w:t xml:space="preserve"> להמיר את דתה ושפתה, לאמץ עם ואומה ומולדת, לצמצם אפוא את נוכחותה הזרה, כדי להפוך לאורחת רצויה ונוחה להטמעה. </w:t>
      </w:r>
      <w:proofErr w:type="spellStart"/>
      <w:r w:rsidR="001349D9" w:rsidRPr="00F8321F">
        <w:rPr>
          <w:sz w:val="14"/>
          <w:rtl/>
        </w:rPr>
        <w:t>ז'אק</w:t>
      </w:r>
      <w:proofErr w:type="spellEnd"/>
      <w:r w:rsidR="001349D9" w:rsidRPr="00F8321F">
        <w:rPr>
          <w:sz w:val="14"/>
          <w:rtl/>
        </w:rPr>
        <w:t xml:space="preserve"> </w:t>
      </w:r>
      <w:proofErr w:type="spellStart"/>
      <w:r w:rsidR="001349D9" w:rsidRPr="00F8321F">
        <w:rPr>
          <w:sz w:val="14"/>
          <w:rtl/>
        </w:rPr>
        <w:t>דרידה</w:t>
      </w:r>
      <w:proofErr w:type="spellEnd"/>
      <w:r w:rsidR="001349D9" w:rsidRPr="00F8321F">
        <w:rPr>
          <w:sz w:val="14"/>
          <w:rtl/>
        </w:rPr>
        <w:t xml:space="preserve"> עומד על הקרבה האטימולוגית בין </w:t>
      </w:r>
      <w:proofErr w:type="spellStart"/>
      <w:r w:rsidR="001349D9" w:rsidRPr="00F8321F">
        <w:rPr>
          <w:sz w:val="14"/>
        </w:rPr>
        <w:t>hospitalité</w:t>
      </w:r>
      <w:proofErr w:type="spellEnd"/>
      <w:r w:rsidR="001349D9" w:rsidRPr="00F8321F">
        <w:rPr>
          <w:sz w:val="14"/>
          <w:rtl/>
        </w:rPr>
        <w:t xml:space="preserve">, הכנסת אורחים, לבין  </w:t>
      </w:r>
      <w:proofErr w:type="spellStart"/>
      <w:r w:rsidR="001349D9" w:rsidRPr="00F8321F">
        <w:rPr>
          <w:sz w:val="14"/>
        </w:rPr>
        <w:t>hostilité</w:t>
      </w:r>
      <w:proofErr w:type="spellEnd"/>
      <w:r w:rsidR="001349D9" w:rsidRPr="00F8321F">
        <w:rPr>
          <w:sz w:val="14"/>
          <w:rtl/>
        </w:rPr>
        <w:t>, עוינות, באמצעות הניאו-</w:t>
      </w:r>
      <w:proofErr w:type="spellStart"/>
      <w:r w:rsidR="001349D9" w:rsidRPr="00F8321F">
        <w:rPr>
          <w:sz w:val="14"/>
          <w:rtl/>
        </w:rPr>
        <w:t>לוגיזם</w:t>
      </w:r>
      <w:proofErr w:type="spellEnd"/>
      <w:r w:rsidR="001349D9" w:rsidRPr="00F8321F">
        <w:rPr>
          <w:sz w:val="14"/>
          <w:rtl/>
        </w:rPr>
        <w:t xml:space="preserve"> </w:t>
      </w:r>
      <w:proofErr w:type="spellStart"/>
      <w:r w:rsidR="001349D9" w:rsidRPr="00F8321F">
        <w:rPr>
          <w:sz w:val="14"/>
        </w:rPr>
        <w:t>hostipitalité</w:t>
      </w:r>
      <w:proofErr w:type="spellEnd"/>
      <w:r w:rsidR="001349D9" w:rsidRPr="00F8321F">
        <w:rPr>
          <w:sz w:val="14"/>
          <w:rtl/>
        </w:rPr>
        <w:t xml:space="preserve">, הכנסת-אורחים-עוינת או הכנעת אורחים מלבר או מלגו, המכירה באיום שמציב האורח כמי שעלול לנשל את המארח מנכסיו, שאולי אינם קניין כה סולידי או קרקע בטוחה, כמי שעלול להפוך כביכול למארח של המארח, או לעשות מן המארח אורח של האורח, פיגורות שבצרפתית אכן מתגלמים במילה אחת: </w:t>
      </w:r>
      <w:proofErr w:type="spellStart"/>
      <w:r w:rsidR="001349D9" w:rsidRPr="00F8321F">
        <w:rPr>
          <w:sz w:val="14"/>
        </w:rPr>
        <w:t>hôte</w:t>
      </w:r>
      <w:proofErr w:type="spellEnd"/>
      <w:r w:rsidR="001349D9" w:rsidRPr="00F8321F">
        <w:rPr>
          <w:sz w:val="14"/>
          <w:rtl/>
        </w:rPr>
        <w:t xml:space="preserve">. כאילו מדובר היה </w:t>
      </w:r>
      <w:proofErr w:type="spellStart"/>
      <w:r w:rsidR="001349D9" w:rsidRPr="00F8321F">
        <w:rPr>
          <w:sz w:val="14"/>
          <w:rtl/>
        </w:rPr>
        <w:t>באינקורפורציה</w:t>
      </w:r>
      <w:proofErr w:type="spellEnd"/>
      <w:r w:rsidR="001349D9" w:rsidRPr="00F8321F">
        <w:rPr>
          <w:sz w:val="14"/>
          <w:rtl/>
        </w:rPr>
        <w:t xml:space="preserve"> מלנכולית: בבליעת האחר אל תוככי התוך כדי לגלות שאין תוך, או בהרחבה אין ריבונות או </w:t>
      </w:r>
      <w:proofErr w:type="spellStart"/>
      <w:r w:rsidR="001349D9" w:rsidRPr="00F8321F">
        <w:rPr>
          <w:sz w:val="14"/>
          <w:rtl/>
        </w:rPr>
        <w:t>היפעלות</w:t>
      </w:r>
      <w:proofErr w:type="spellEnd"/>
      <w:r w:rsidR="001349D9" w:rsidRPr="00F8321F">
        <w:rPr>
          <w:sz w:val="14"/>
          <w:rtl/>
        </w:rPr>
        <w:t xml:space="preserve"> </w:t>
      </w:r>
      <w:r w:rsidR="001349D9" w:rsidRPr="00F8321F">
        <w:rPr>
          <w:sz w:val="14"/>
          <w:rtl/>
        </w:rPr>
        <w:lastRenderedPageBreak/>
        <w:t xml:space="preserve">עצמית ראויים לשמם ללא אחר או חוץ המאפשרים אותם והעלולים להחריבם. הבית הוא מעין מנגנון אוטואימוני הפותח וטורק לסירוגין את דלתות עצמו. אפשר שהאורח, קרוא או בלתי קרוא, הוא הסימפטום של הבית. הכנסת האורחים המופלגת, ממשיך </w:t>
      </w:r>
      <w:proofErr w:type="spellStart"/>
      <w:r w:rsidR="001349D9" w:rsidRPr="00F8321F">
        <w:rPr>
          <w:sz w:val="14"/>
          <w:rtl/>
        </w:rPr>
        <w:t>דרידה</w:t>
      </w:r>
      <w:proofErr w:type="spellEnd"/>
      <w:r w:rsidR="001349D9" w:rsidRPr="00F8321F">
        <w:rPr>
          <w:sz w:val="14"/>
          <w:rtl/>
        </w:rPr>
        <w:t xml:space="preserve">, הכנסת אורחים ללא תנאי וללא ריבונות, עשויה להיות כזאת שבה הבית נפתח בפני המזדמן המוחלט, נכרי הסר אל מקום שאינו יודע אותו, המצפה לו עם זאת כמו למשחרר או לגואל. "זה כאילו החזיק הנכרי במפתחות", כותב </w:t>
      </w:r>
      <w:proofErr w:type="spellStart"/>
      <w:r w:rsidR="001349D9" w:rsidRPr="00F8321F">
        <w:rPr>
          <w:sz w:val="14"/>
          <w:rtl/>
        </w:rPr>
        <w:t>דרידה</w:t>
      </w:r>
      <w:proofErr w:type="spellEnd"/>
      <w:r w:rsidR="001349D9" w:rsidRPr="00F8321F">
        <w:rPr>
          <w:sz w:val="14"/>
          <w:rtl/>
        </w:rPr>
        <w:t>. "זו תמיד הסיטואציה של הנכרי, גם בתחום הפוליטי. כאילו יכול הנכרי להציל את האדון ולשחרר את כוחו של המארח; זה כאילו היה האדון, כאדון, אסיר של מקומו ושל כוחו, של עצמיותו, של הסובייקטיביות שלו".  פונה אפוא הנכרי אל בעל המקום ופורש בפניו שאלות. בעל הבית מעמיד את עצמו בשאלה. ועם זאת, איננו מנועים מלתהות ככלות הכול אם יש גב</w:t>
      </w:r>
      <w:r w:rsidR="001349D9">
        <w:rPr>
          <w:sz w:val="14"/>
          <w:rtl/>
        </w:rPr>
        <w:t>ול להתגרות הזאת בהיגיון האבהי.</w:t>
      </w:r>
      <w:r w:rsidR="001349D9">
        <w:rPr>
          <w:rFonts w:hint="cs"/>
          <w:sz w:val="14"/>
          <w:rtl/>
        </w:rPr>
        <w:t>..</w:t>
      </w:r>
      <w:r w:rsidR="001349D9" w:rsidRPr="00F8321F">
        <w:rPr>
          <w:sz w:val="14"/>
          <w:rtl/>
        </w:rPr>
        <w:t xml:space="preserve"> </w:t>
      </w:r>
      <w:r w:rsidR="001349D9" w:rsidRPr="00F8321F">
        <w:rPr>
          <w:sz w:val="14"/>
          <w:rtl/>
        </w:rPr>
        <w:br/>
      </w:r>
    </w:p>
    <w:p w:rsidR="001349D9" w:rsidRDefault="001349D9" w:rsidP="001349D9">
      <w:pPr>
        <w:pStyle w:val="a3"/>
        <w:rPr>
          <w:rtl/>
        </w:rPr>
      </w:pPr>
      <w:r>
        <w:rPr>
          <w:rFonts w:hint="cs"/>
          <w:b/>
          <w:bCs/>
          <w:sz w:val="14"/>
          <w:rtl/>
        </w:rPr>
        <w:t>ממאמרי 'אוהבים אותך יוסי', פורסם בגיליון דעות חורף תש"ע</w:t>
      </w:r>
      <w:r w:rsidRPr="00F8321F">
        <w:rPr>
          <w:sz w:val="14"/>
          <w:rtl/>
        </w:rPr>
        <w:t>   </w:t>
      </w:r>
      <w:r w:rsidRPr="00F8321F">
        <w:t xml:space="preserve"> </w:t>
      </w:r>
    </w:p>
    <w:p w:rsidR="001349D9" w:rsidRPr="003A229C" w:rsidRDefault="001349D9" w:rsidP="001349D9">
      <w:pPr>
        <w:pStyle w:val="a3"/>
        <w:rPr>
          <w:rFonts w:cstheme="majorBidi"/>
          <w:b/>
          <w:bCs/>
          <w:rtl/>
        </w:rPr>
      </w:pPr>
      <w:r w:rsidRPr="003A229C">
        <w:rPr>
          <w:rFonts w:cstheme="majorBidi"/>
          <w:b/>
          <w:bCs/>
          <w:rtl/>
        </w:rPr>
        <w:t>"האברים רצו יותר להכנסת אורחים מקבלת פני שכינה"</w:t>
      </w:r>
    </w:p>
    <w:p w:rsidR="001349D9" w:rsidRPr="003A229C" w:rsidRDefault="001349D9" w:rsidP="001349D9">
      <w:pPr>
        <w:pStyle w:val="a3"/>
        <w:rPr>
          <w:rFonts w:cstheme="majorBidi"/>
          <w:b/>
          <w:bCs/>
          <w:rtl/>
        </w:rPr>
      </w:pPr>
      <w:r w:rsidRPr="003A229C">
        <w:rPr>
          <w:rFonts w:cstheme="majorBidi"/>
          <w:rtl/>
        </w:rPr>
        <w:t xml:space="preserve">מכאן למחשבות על זוגיות מסוג אחר - הכנסת אורח ולווייתו. כך אומר ר' שמחה בונם </w:t>
      </w:r>
      <w:proofErr w:type="spellStart"/>
      <w:r w:rsidRPr="003A229C">
        <w:rPr>
          <w:rFonts w:cstheme="majorBidi"/>
          <w:rtl/>
        </w:rPr>
        <w:t>מפשיסחא</w:t>
      </w:r>
      <w:proofErr w:type="spellEnd"/>
      <w:r w:rsidRPr="003A229C">
        <w:rPr>
          <w:rFonts w:cstheme="majorBidi"/>
          <w:rtl/>
        </w:rPr>
        <w:t xml:space="preserve">: </w:t>
      </w:r>
    </w:p>
    <w:p w:rsidR="001349D9" w:rsidRPr="003A229C" w:rsidRDefault="001349D9" w:rsidP="0008203C">
      <w:pPr>
        <w:pStyle w:val="a3"/>
        <w:rPr>
          <w:rFonts w:cstheme="majorBidi"/>
        </w:rPr>
      </w:pPr>
      <w:r w:rsidRPr="003A229C">
        <w:rPr>
          <w:rFonts w:cstheme="majorBidi"/>
          <w:rtl/>
        </w:rPr>
        <w:t xml:space="preserve">"אל נא תעבור מעל עבדך - מכאן למדו חז"ל (שבת קכ"ז' ע"א): גדולה הכנסת אורחים יותר מ[ה]קבלת פני השכינה". וקשה: ובאמת אברהם מנא הוכיח זאת? ואמר הרבי, ר' בונם </w:t>
      </w:r>
      <w:proofErr w:type="spellStart"/>
      <w:r w:rsidRPr="003A229C">
        <w:rPr>
          <w:rFonts w:cstheme="majorBidi"/>
          <w:rtl/>
        </w:rPr>
        <w:t>מפרשיסחא</w:t>
      </w:r>
      <w:proofErr w:type="spellEnd"/>
      <w:r w:rsidRPr="003A229C">
        <w:rPr>
          <w:rFonts w:cstheme="majorBidi"/>
          <w:rtl/>
        </w:rPr>
        <w:t xml:space="preserve"> זי"ע, </w:t>
      </w:r>
      <w:proofErr w:type="spellStart"/>
      <w:r w:rsidRPr="003A229C">
        <w:rPr>
          <w:rFonts w:cstheme="majorBidi"/>
          <w:rtl/>
        </w:rPr>
        <w:t>דאברהם</w:t>
      </w:r>
      <w:proofErr w:type="spellEnd"/>
      <w:r w:rsidRPr="003A229C">
        <w:rPr>
          <w:rFonts w:cstheme="majorBidi"/>
          <w:rtl/>
        </w:rPr>
        <w:t xml:space="preserve"> אבינו ע"ה, היו כל האברים שלו כל כך מזוככים, שכאשר בא לעשות מצווה, היו האברים בעצמם מוליכים אותו </w:t>
      </w:r>
      <w:proofErr w:type="spellStart"/>
      <w:r w:rsidRPr="003A229C">
        <w:rPr>
          <w:rFonts w:cstheme="majorBidi"/>
          <w:rtl/>
        </w:rPr>
        <w:t>להמצווה</w:t>
      </w:r>
      <w:proofErr w:type="spellEnd"/>
      <w:r w:rsidRPr="003A229C">
        <w:rPr>
          <w:rFonts w:cstheme="majorBidi"/>
          <w:rtl/>
        </w:rPr>
        <w:t xml:space="preserve">... וכאשר באו האורחים, כתיב "וירא </w:t>
      </w:r>
      <w:proofErr w:type="spellStart"/>
      <w:r w:rsidRPr="003A229C">
        <w:rPr>
          <w:rFonts w:cstheme="majorBidi"/>
          <w:rtl/>
        </w:rPr>
        <w:t>וירץ</w:t>
      </w:r>
      <w:proofErr w:type="spellEnd"/>
      <w:r w:rsidRPr="003A229C">
        <w:rPr>
          <w:rFonts w:cstheme="majorBidi"/>
          <w:rtl/>
        </w:rPr>
        <w:t xml:space="preserve"> לקראתם", </w:t>
      </w:r>
      <w:proofErr w:type="spellStart"/>
      <w:r w:rsidRPr="003A229C">
        <w:rPr>
          <w:rFonts w:cstheme="majorBidi"/>
          <w:rtl/>
        </w:rPr>
        <w:t>עהר</w:t>
      </w:r>
      <w:proofErr w:type="spellEnd"/>
      <w:r w:rsidRPr="003A229C">
        <w:rPr>
          <w:rFonts w:cstheme="majorBidi"/>
          <w:rtl/>
        </w:rPr>
        <w:t xml:space="preserve"> האט </w:t>
      </w:r>
      <w:proofErr w:type="spellStart"/>
      <w:r w:rsidRPr="003A229C">
        <w:rPr>
          <w:rFonts w:cstheme="majorBidi"/>
          <w:rtl/>
        </w:rPr>
        <w:t>אצאפעל</w:t>
      </w:r>
      <w:proofErr w:type="spellEnd"/>
      <w:r w:rsidRPr="003A229C">
        <w:rPr>
          <w:rFonts w:cstheme="majorBidi"/>
          <w:rtl/>
        </w:rPr>
        <w:t xml:space="preserve"> </w:t>
      </w:r>
      <w:proofErr w:type="spellStart"/>
      <w:r w:rsidRPr="003A229C">
        <w:rPr>
          <w:rFonts w:cstheme="majorBidi"/>
          <w:rtl/>
        </w:rPr>
        <w:t>גיגעבען</w:t>
      </w:r>
      <w:proofErr w:type="spellEnd"/>
      <w:r w:rsidRPr="003A229C">
        <w:rPr>
          <w:rFonts w:cstheme="majorBidi"/>
          <w:rtl/>
        </w:rPr>
        <w:t xml:space="preserve"> </w:t>
      </w:r>
      <w:proofErr w:type="spellStart"/>
      <w:r w:rsidRPr="003A229C">
        <w:rPr>
          <w:rFonts w:cstheme="majorBidi"/>
          <w:rtl/>
        </w:rPr>
        <w:t>ציא</w:t>
      </w:r>
      <w:proofErr w:type="spellEnd"/>
      <w:r w:rsidRPr="003A229C">
        <w:rPr>
          <w:rFonts w:cstheme="majorBidi"/>
          <w:rtl/>
        </w:rPr>
        <w:t xml:space="preserve"> </w:t>
      </w:r>
      <w:proofErr w:type="spellStart"/>
      <w:r w:rsidRPr="003A229C">
        <w:rPr>
          <w:rFonts w:cstheme="majorBidi"/>
          <w:rtl/>
        </w:rPr>
        <w:t>דער</w:t>
      </w:r>
      <w:proofErr w:type="spellEnd"/>
      <w:r w:rsidRPr="003A229C">
        <w:rPr>
          <w:rFonts w:cstheme="majorBidi"/>
          <w:rtl/>
        </w:rPr>
        <w:t xml:space="preserve"> </w:t>
      </w:r>
      <w:proofErr w:type="spellStart"/>
      <w:r w:rsidRPr="003A229C">
        <w:rPr>
          <w:rFonts w:cstheme="majorBidi"/>
          <w:rtl/>
        </w:rPr>
        <w:t>מצוה</w:t>
      </w:r>
      <w:proofErr w:type="spellEnd"/>
      <w:r w:rsidRPr="003A229C">
        <w:rPr>
          <w:rFonts w:cstheme="majorBidi"/>
          <w:rtl/>
        </w:rPr>
        <w:t xml:space="preserve"> [גופו </w:t>
      </w:r>
      <w:proofErr w:type="spellStart"/>
      <w:r w:rsidRPr="003A229C">
        <w:rPr>
          <w:rFonts w:cstheme="majorBidi"/>
          <w:rtl/>
        </w:rPr>
        <w:t>פירכס</w:t>
      </w:r>
      <w:proofErr w:type="spellEnd"/>
      <w:r w:rsidRPr="003A229C">
        <w:rPr>
          <w:rFonts w:cstheme="majorBidi"/>
          <w:rtl/>
        </w:rPr>
        <w:t xml:space="preserve"> לקיים את </w:t>
      </w:r>
      <w:proofErr w:type="spellStart"/>
      <w:r w:rsidRPr="003A229C">
        <w:rPr>
          <w:rFonts w:cstheme="majorBidi"/>
          <w:rtl/>
        </w:rPr>
        <w:t>המצוה</w:t>
      </w:r>
      <w:proofErr w:type="spellEnd"/>
      <w:r w:rsidRPr="003A229C">
        <w:rPr>
          <w:rFonts w:cstheme="majorBidi"/>
          <w:rtl/>
        </w:rPr>
        <w:t xml:space="preserve">]. מזה הוכיח </w:t>
      </w:r>
      <w:proofErr w:type="spellStart"/>
      <w:r w:rsidRPr="003A229C">
        <w:rPr>
          <w:rFonts w:cstheme="majorBidi"/>
          <w:rtl/>
        </w:rPr>
        <w:t>דהכנסת</w:t>
      </w:r>
      <w:proofErr w:type="spellEnd"/>
      <w:r w:rsidRPr="003A229C">
        <w:rPr>
          <w:rFonts w:cstheme="majorBidi"/>
          <w:rtl/>
        </w:rPr>
        <w:t xml:space="preserve"> אורחים גדולה. </w:t>
      </w:r>
      <w:proofErr w:type="spellStart"/>
      <w:r w:rsidRPr="003A229C">
        <w:rPr>
          <w:rFonts w:cstheme="majorBidi"/>
          <w:rtl/>
        </w:rPr>
        <w:t>דהאברים</w:t>
      </w:r>
      <w:proofErr w:type="spellEnd"/>
      <w:r w:rsidRPr="003A229C">
        <w:rPr>
          <w:rFonts w:cstheme="majorBidi"/>
          <w:rtl/>
        </w:rPr>
        <w:t xml:space="preserve"> רצו יותר להכנסת אורחים מקבלת פני השכינה...</w:t>
      </w:r>
      <w:proofErr w:type="spellStart"/>
      <w:r w:rsidRPr="003A229C">
        <w:rPr>
          <w:rFonts w:cstheme="majorBidi"/>
          <w:rtl/>
        </w:rPr>
        <w:t>"</w:t>
      </w:r>
      <w:r w:rsidR="0008203C">
        <w:rPr>
          <w:rFonts w:cstheme="majorBidi" w:hint="cs"/>
          <w:rtl/>
        </w:rPr>
        <w:t>[קול</w:t>
      </w:r>
      <w:proofErr w:type="spellEnd"/>
      <w:r w:rsidR="0008203C">
        <w:rPr>
          <w:rFonts w:cstheme="majorBidi" w:hint="cs"/>
          <w:rtl/>
        </w:rPr>
        <w:t xml:space="preserve"> שמחה פ' וירא]</w:t>
      </w:r>
    </w:p>
    <w:p w:rsidR="001349D9" w:rsidRPr="003A229C" w:rsidRDefault="001349D9" w:rsidP="001349D9">
      <w:pPr>
        <w:pStyle w:val="a3"/>
        <w:rPr>
          <w:rFonts w:cstheme="majorBidi"/>
          <w:rtl/>
        </w:rPr>
      </w:pPr>
      <w:r w:rsidRPr="003A229C">
        <w:rPr>
          <w:rFonts w:cstheme="majorBidi"/>
          <w:rtl/>
        </w:rPr>
        <w:t xml:space="preserve">דבריו של </w:t>
      </w:r>
      <w:proofErr w:type="spellStart"/>
      <w:r w:rsidRPr="003A229C">
        <w:rPr>
          <w:rFonts w:cstheme="majorBidi"/>
          <w:rtl/>
        </w:rPr>
        <w:t>רש"ב</w:t>
      </w:r>
      <w:proofErr w:type="spellEnd"/>
      <w:r w:rsidRPr="003A229C">
        <w:rPr>
          <w:rFonts w:cstheme="majorBidi"/>
          <w:rtl/>
        </w:rPr>
        <w:t xml:space="preserve"> מרחיקי לכת: המבחן הוא היענות הגוף למצווה, עוררות האיברים! כל אחד מכיר מעצמו מעשים שנעשים מהמקום של ציות, של יראת שמים בסיסית, לעומת מעשים שמקורם בחשק, בתשוקה, שאדם נענה להם מגופו. החידוש הנועז של </w:t>
      </w:r>
      <w:proofErr w:type="spellStart"/>
      <w:r w:rsidRPr="003A229C">
        <w:rPr>
          <w:rFonts w:cstheme="majorBidi"/>
          <w:rtl/>
        </w:rPr>
        <w:t>רש"ב</w:t>
      </w:r>
      <w:proofErr w:type="spellEnd"/>
      <w:r w:rsidRPr="003A229C">
        <w:rPr>
          <w:rFonts w:cstheme="majorBidi"/>
          <w:rtl/>
        </w:rPr>
        <w:t xml:space="preserve"> כפול: ראשית, המבחן לממשות של המצווה הוא בעוררות הגופנית ולא בציות, שלעולם היא מוטיבציה הכרחית אך נמוכה. שנית, וזה העיקר בעיני: גוף האדם, יצריו הבסיסיים ביותר, רצים דווקא לקראת מפגש אנושי! האורחים הם ההפתעה, הסיכוי המעורר, המפתיע, לחידוש הדמות שלי. הכנסת אורח אינה "מצווה" במובן העצל, של היכנעות וציות בלבד. פני אדם הם פני שכינה, ואירוח הוא אירוע שעשוי להיות חושק, מגרה, מסעיר. בעולם שלנו, בני אדם הם מטרד, מעמסה, איום על החופש, על הפרטיות. אכן, יש מקום גם למבט כזה; רצונו הבסיסי של הסובייקט להתבודד, לינוק חיוּת מה"אין", מה"היות אצל עצמו", הוא מובן ומוצדק. כל אדם זקוק לחללים של שקט ודממה, רק אני ואלוהים. בשפה </w:t>
      </w:r>
      <w:proofErr w:type="spellStart"/>
      <w:r w:rsidRPr="003A229C">
        <w:rPr>
          <w:rFonts w:cstheme="majorBidi"/>
          <w:rtl/>
        </w:rPr>
        <w:t>החב"דית</w:t>
      </w:r>
      <w:proofErr w:type="spellEnd"/>
      <w:r w:rsidRPr="003A229C">
        <w:rPr>
          <w:rFonts w:cstheme="majorBidi"/>
          <w:rtl/>
        </w:rPr>
        <w:t xml:space="preserve"> זהו ה"אור הממלא", אור המאיר לעצמו; זו קבלת פני שכינה, האינטימיות של האדם עם עצמו. אך המקום הגבוה יותר הוא ה"אור הסובב", אור המאיר לזולתו, שמקורו באורח, בהתגלות המפתיעה שמגיעה מבחוץ בדמותו של אורח אקראי. גאולה באה בהיסח הדעת; ההתרחשויות והשינויים הממשיים מתגלים באקראיות, בקונטינגנטיות של הקיום. כל אחד יודע שלשגרה המודעת נענים באופן מתון, קורקטי, ואילו להפתעה האקראית נענים ב"זקיפת גבה", במידה של התפעלות, בעוררות.</w:t>
      </w:r>
    </w:p>
    <w:p w:rsidR="001349D9" w:rsidRPr="003A229C" w:rsidRDefault="001349D9" w:rsidP="001349D9">
      <w:pPr>
        <w:pStyle w:val="a3"/>
        <w:rPr>
          <w:rFonts w:cstheme="majorBidi"/>
          <w:rtl/>
        </w:rPr>
      </w:pPr>
      <w:r w:rsidRPr="003A229C">
        <w:rPr>
          <w:rFonts w:cstheme="majorBidi"/>
          <w:rtl/>
        </w:rPr>
        <w:t xml:space="preserve">השאלה היא אם ניתן לדמיין בעולם שלנו התרחשות מסעירה, מטלטלת; ועוד בדמות אדם זר שנקלע בדרכי? האם ניתן לדמיין התרחשות כזו בתוך הוויית חיים מודעת לעצמה, עמוסה ברפלקסיה ובפרשנויות ומלאה חשדנות, פחדים והגנות? </w:t>
      </w:r>
    </w:p>
    <w:p w:rsidR="001349D9" w:rsidRPr="003A229C" w:rsidRDefault="001349D9" w:rsidP="00DE2589">
      <w:pPr>
        <w:pStyle w:val="a3"/>
        <w:jc w:val="center"/>
        <w:rPr>
          <w:rFonts w:cstheme="majorBidi"/>
          <w:rtl/>
        </w:rPr>
      </w:pPr>
    </w:p>
    <w:p w:rsidR="001349D9" w:rsidRPr="003A229C" w:rsidRDefault="00DE2589" w:rsidP="0008203C">
      <w:pPr>
        <w:pStyle w:val="a3"/>
        <w:rPr>
          <w:rFonts w:cstheme="majorBidi"/>
          <w:rtl/>
        </w:rPr>
      </w:pPr>
      <w:r w:rsidRPr="00DE2589">
        <w:rPr>
          <w:rFonts w:cstheme="majorBidi" w:hint="cs"/>
          <w:b/>
          <w:bCs/>
          <w:rtl/>
        </w:rPr>
        <w:t xml:space="preserve">אמן ואוצר </w:t>
      </w:r>
      <w:r w:rsidRPr="00DE2589">
        <w:rPr>
          <w:rFonts w:cstheme="majorBidi"/>
          <w:b/>
          <w:bCs/>
          <w:rtl/>
        </w:rPr>
        <w:t>–</w:t>
      </w:r>
      <w:r w:rsidRPr="00DE2589">
        <w:rPr>
          <w:rFonts w:cstheme="majorBidi" w:hint="cs"/>
          <w:b/>
          <w:bCs/>
          <w:rtl/>
        </w:rPr>
        <w:t xml:space="preserve"> מאתר אינטרנט</w:t>
      </w:r>
      <w:r>
        <w:rPr>
          <w:rFonts w:cstheme="majorBidi" w:hint="cs"/>
          <w:rtl/>
        </w:rPr>
        <w:t xml:space="preserve"> </w:t>
      </w:r>
      <w:r w:rsidR="001349D9" w:rsidRPr="003A229C">
        <w:rPr>
          <w:rFonts w:cstheme="majorBidi"/>
          <w:rtl/>
        </w:rPr>
        <w:t xml:space="preserve">"...שאלה עקרונית: מי המארח ומי האורח? אני מבקשת להפוך את סדר הדברים ולומר: אם אירוח מוגדר כביקור מוסכם של אדם אחד בטריטוריה של אדם אחר, הרי במערכת הקשרים בין אָמן לאוצֵר, האוצר הוא המתארח בטריטוריה הפרטית של האמן והאמן הוא המארח את האוצר. מרחב הסטודיו, שם האמן עובד, מתרגל, מפתח רעיונות וזורק מחשבות, הוא מרחב מאוד פרטי... כל קשר בין אמן ואוצר מתחיל במקום הפיזי הזה, שאליו מגיע האוצר כדי להכיר את האמן ולהתחיל במערכת פענוח הקודים הפרטיים שלו... תהליך הכתיבה </w:t>
      </w:r>
      <w:proofErr w:type="spellStart"/>
      <w:r w:rsidR="001349D9" w:rsidRPr="003A229C">
        <w:rPr>
          <w:rFonts w:cstheme="majorBidi"/>
          <w:rtl/>
        </w:rPr>
        <w:t>האוצרותית</w:t>
      </w:r>
      <w:proofErr w:type="spellEnd"/>
      <w:r w:rsidR="001349D9" w:rsidRPr="003A229C">
        <w:rPr>
          <w:rFonts w:cstheme="majorBidi"/>
          <w:rtl/>
        </w:rPr>
        <w:t xml:space="preserve"> הוא תהליך של התארחות במרחב מנטאלי של אדם אחר... האוצר (כמו פסיכולוג, במידה רבה) נשאר בלתי מזוהה באופן אישי, בעוד שהאמן הוא זה שמאפשר את הכניסה לתחום הפרטי שלו, </w:t>
      </w:r>
      <w:r w:rsidR="001349D9" w:rsidRPr="003A229C">
        <w:rPr>
          <w:rFonts w:cstheme="majorBidi"/>
          <w:rtl/>
        </w:rPr>
        <w:lastRenderedPageBreak/>
        <w:t>לעולם האסוציאטיבי שלו ולמערכת התכנים והסמלים שממנה הוא נבנה...</w:t>
      </w:r>
      <w:proofErr w:type="spellStart"/>
      <w:r w:rsidR="001349D9" w:rsidRPr="003A229C">
        <w:rPr>
          <w:rFonts w:cstheme="majorBidi"/>
          <w:rtl/>
        </w:rPr>
        <w:t>"</w:t>
      </w:r>
      <w:r w:rsidR="0008203C">
        <w:rPr>
          <w:rFonts w:cstheme="majorBidi" w:hint="cs"/>
          <w:rtl/>
        </w:rPr>
        <w:t>[ט</w:t>
      </w:r>
      <w:proofErr w:type="spellEnd"/>
      <w:r w:rsidR="0008203C">
        <w:rPr>
          <w:rFonts w:cstheme="majorBidi" w:hint="cs"/>
          <w:rtl/>
        </w:rPr>
        <w:t>לי תמיר, אוצרת]</w:t>
      </w:r>
    </w:p>
    <w:p w:rsidR="001349D9" w:rsidRPr="003A229C" w:rsidRDefault="001349D9" w:rsidP="001349D9">
      <w:pPr>
        <w:pStyle w:val="a3"/>
        <w:rPr>
          <w:rFonts w:cstheme="majorBidi"/>
          <w:rtl/>
        </w:rPr>
      </w:pPr>
    </w:p>
    <w:p w:rsidR="001349D9" w:rsidRPr="003A229C" w:rsidRDefault="001349D9" w:rsidP="001349D9">
      <w:pPr>
        <w:pStyle w:val="a3"/>
        <w:rPr>
          <w:rFonts w:cstheme="majorBidi"/>
          <w:rtl/>
        </w:rPr>
      </w:pPr>
      <w:r w:rsidRPr="003A229C">
        <w:rPr>
          <w:rFonts w:cstheme="majorBidi"/>
          <w:rtl/>
        </w:rPr>
        <w:t>הקטע היפהפה הזה נוגע בסוגיית הליבה לא רק בכל הקשור להכנסת אורח, אלא לעצם מפגש אנושי בין שניים, שתמיד נע בין שימור הזרות ובין "פלישה" זה לתחומו של זה, באופן שזהויותיהם נבללות-מתחלפות ומפרות זו את זו.</w:t>
      </w:r>
    </w:p>
    <w:p w:rsidR="001349D9" w:rsidRDefault="001349D9" w:rsidP="0008203C">
      <w:pPr>
        <w:pStyle w:val="a3"/>
      </w:pPr>
      <w:r w:rsidRPr="003A229C">
        <w:rPr>
          <w:rFonts w:cstheme="majorBidi"/>
          <w:rtl/>
        </w:rPr>
        <w:t>בהקשר של הכנסת אורחים מלמד הרמב"ם, באופן מפתיע, שמצוות הלוויית האורח גדולה יותר מהכנסתו</w:t>
      </w:r>
      <w:r w:rsidR="00114B8A">
        <w:rPr>
          <w:rFonts w:cstheme="majorBidi" w:hint="cs"/>
          <w:rtl/>
        </w:rPr>
        <w:t xml:space="preserve"> [</w:t>
      </w:r>
      <w:r w:rsidR="00114B8A">
        <w:rPr>
          <w:rFonts w:cs="David" w:hint="cs"/>
          <w:sz w:val="18"/>
          <w:szCs w:val="18"/>
          <w:rtl/>
        </w:rPr>
        <w:t xml:space="preserve">משנה תורה לרמב"ם, </w:t>
      </w:r>
      <w:r w:rsidR="00114B8A" w:rsidRPr="001E2E81">
        <w:rPr>
          <w:rFonts w:cs="David" w:hint="cs"/>
          <w:sz w:val="18"/>
          <w:szCs w:val="18"/>
          <w:rtl/>
        </w:rPr>
        <w:t>הלכות אבל</w:t>
      </w:r>
      <w:r w:rsidR="00114B8A">
        <w:rPr>
          <w:rFonts w:cs="David" w:hint="cs"/>
          <w:sz w:val="18"/>
          <w:szCs w:val="18"/>
          <w:rtl/>
        </w:rPr>
        <w:t>,</w:t>
      </w:r>
      <w:r w:rsidR="00114B8A" w:rsidRPr="001E2E81">
        <w:rPr>
          <w:rFonts w:cs="David" w:hint="cs"/>
          <w:sz w:val="18"/>
          <w:szCs w:val="18"/>
          <w:rtl/>
        </w:rPr>
        <w:t xml:space="preserve"> פרק יד</w:t>
      </w:r>
      <w:r w:rsidR="00114B8A">
        <w:rPr>
          <w:rFonts w:cs="David" w:hint="cs"/>
          <w:sz w:val="18"/>
          <w:szCs w:val="18"/>
          <w:rtl/>
        </w:rPr>
        <w:t>,</w:t>
      </w:r>
      <w:r w:rsidR="00114B8A" w:rsidRPr="001E2E81">
        <w:rPr>
          <w:rFonts w:cs="David" w:hint="cs"/>
          <w:sz w:val="18"/>
          <w:szCs w:val="18"/>
          <w:rtl/>
        </w:rPr>
        <w:t xml:space="preserve"> הלכה א-ב</w:t>
      </w:r>
      <w:r w:rsidR="00114B8A">
        <w:rPr>
          <w:rFonts w:cs="David" w:hint="cs"/>
          <w:sz w:val="18"/>
          <w:szCs w:val="18"/>
          <w:rtl/>
        </w:rPr>
        <w:t>.]</w:t>
      </w:r>
      <w:r w:rsidRPr="003A229C">
        <w:rPr>
          <w:rFonts w:cstheme="majorBidi"/>
          <w:rtl/>
        </w:rPr>
        <w:t xml:space="preserve"> הליווי אינו דרישה </w:t>
      </w:r>
      <w:proofErr w:type="spellStart"/>
      <w:r w:rsidRPr="003A229C">
        <w:rPr>
          <w:rFonts w:cstheme="majorBidi"/>
          <w:rtl/>
        </w:rPr>
        <w:t>פורמלית</w:t>
      </w:r>
      <w:proofErr w:type="spellEnd"/>
      <w:r w:rsidRPr="003A229C">
        <w:rPr>
          <w:rFonts w:cstheme="majorBidi"/>
          <w:rtl/>
        </w:rPr>
        <w:t xml:space="preserve"> אלא תוצאה של הפגת הזרות. עיקר המגע עם הזר שהגיע לתחומי נעוץ ביכולתי לגלות עניין באורח, בהנחה שבכל אדם יש עולם שמחפש שיעריכו אותו, שיידעו על קיומו, שיתאפשר לו לשתף אחרים בעצם דמותו והווייתו. כל אחד יכול לדמיין את תחושותיו כשמתעניינים בו התעניינות כנה בלא אינטרסים - במחשבותיו, בדמיונות, בכיסופים. הניסיון שלי מראה שאנשים נושאים בתוכם עולם אילם; הם אינם מדברים כי הם בטוחים שאין מי שיקשיב. וכשניתנת ההזדמנות ונוצרת האווירה הפתוחה שמאפשרת לדבר, הרבה פעמים מתחוללת התרחשות משמעותית ביותר ביניהם ובין השומעים. התוצאה המתבקשת היא ליוויו של האורח: המארח הולך אחרי האורח, הוא אינו יכול להיפרד; נפשו נקשרה בנפשו. כל אירוע טעון "אריזה"; ליווי האורח ונתינה של קצת זמן ותשומת לב מאפשרים להכיל את מה שקרה ו"ללכת עם זה" עוד קצת. זו אינה רק העצמה והגברת המודעות זה לזה; יש במחשבות אלה זרעים להתחדשות של ממש ביחסים אנושיים. אני מבקש לטעון שתיקונים בזוגיות, ב"עוררות בקדושה", ביחסים בין אישה לאיש ובין מארח לאורח, הם המבוא לכינון שדה שיח של זיווג וייחוד בין יחיד לקהל.</w:t>
      </w:r>
      <w:r>
        <w:rPr>
          <w:rFonts w:cstheme="majorBidi" w:hint="cs"/>
          <w:rtl/>
        </w:rPr>
        <w:t>..</w:t>
      </w:r>
      <w:r w:rsidRPr="003A229C">
        <w:rPr>
          <w:rFonts w:cstheme="majorBidi"/>
          <w:rtl/>
        </w:rPr>
        <w:t xml:space="preserve"> </w:t>
      </w:r>
    </w:p>
    <w:p w:rsidR="00EB2B34" w:rsidRPr="00EB2B34" w:rsidRDefault="00EB2B34" w:rsidP="00EB2B34">
      <w:pPr>
        <w:pStyle w:val="a3"/>
        <w:rPr>
          <w:rFonts w:ascii="meoded_regular" w:hAnsi="meoded_regular"/>
          <w:color w:val="333333"/>
          <w:sz w:val="18"/>
          <w:szCs w:val="18"/>
          <w:rtl/>
        </w:rPr>
      </w:pPr>
      <w:r>
        <w:rPr>
          <w:rFonts w:ascii="meoded_regular" w:hAnsi="meoded_regular" w:hint="cs"/>
          <w:b/>
          <w:bCs/>
          <w:color w:val="FFFFFF"/>
          <w:sz w:val="18"/>
          <w:szCs w:val="18"/>
          <w:rtl/>
        </w:rPr>
        <w:t xml:space="preserve">הרב </w:t>
      </w:r>
      <w:proofErr w:type="spellStart"/>
      <w:r>
        <w:rPr>
          <w:rFonts w:ascii="meoded_regular" w:hAnsi="meoded_regular" w:hint="cs"/>
          <w:b/>
          <w:bCs/>
          <w:color w:val="FFFFFF"/>
          <w:sz w:val="18"/>
          <w:szCs w:val="18"/>
          <w:rtl/>
        </w:rPr>
        <w:t>נעם</w:t>
      </w:r>
      <w:r w:rsidRPr="00EB2B34">
        <w:rPr>
          <w:rFonts w:ascii="meoded_regular" w:hAnsi="meoded_regular"/>
          <w:color w:val="FFFFFF"/>
          <w:sz w:val="18"/>
          <w:szCs w:val="18"/>
          <w:rtl/>
        </w:rPr>
        <w:t>ש</w:t>
      </w:r>
      <w:proofErr w:type="spellEnd"/>
    </w:p>
    <w:p w:rsidR="00EB2B34" w:rsidRPr="00EB2B34" w:rsidRDefault="00EB2B34" w:rsidP="00EB2B34">
      <w:pPr>
        <w:pStyle w:val="a3"/>
        <w:rPr>
          <w:rFonts w:ascii="meoded_regular" w:hAnsi="meoded_regular" w:hint="cs"/>
          <w:b/>
          <w:bCs/>
          <w:color w:val="333333"/>
          <w:rtl/>
        </w:rPr>
      </w:pPr>
      <w:r w:rsidRPr="00EB2B34">
        <w:rPr>
          <w:rFonts w:ascii="meoded_regular" w:hAnsi="meoded_regular" w:hint="cs"/>
          <w:b/>
          <w:bCs/>
          <w:color w:val="333333"/>
          <w:rtl/>
        </w:rPr>
        <w:t xml:space="preserve">הרב נועם </w:t>
      </w:r>
      <w:r w:rsidRPr="00EB2B34">
        <w:rPr>
          <w:rFonts w:ascii="meoded_regular" w:hAnsi="meoded_regular"/>
          <w:b/>
          <w:bCs/>
          <w:color w:val="333333"/>
          <w:rtl/>
        </w:rPr>
        <w:t>–</w:t>
      </w:r>
      <w:r w:rsidRPr="00EB2B34">
        <w:rPr>
          <w:rFonts w:ascii="meoded_regular" w:hAnsi="meoded_regular" w:hint="cs"/>
          <w:b/>
          <w:bCs/>
          <w:color w:val="333333"/>
          <w:rtl/>
        </w:rPr>
        <w:t xml:space="preserve"> שיח </w:t>
      </w:r>
      <w:proofErr w:type="spellStart"/>
      <w:r w:rsidRPr="00EB2B34">
        <w:rPr>
          <w:rFonts w:ascii="meoded_regular" w:hAnsi="meoded_regular" w:hint="cs"/>
          <w:b/>
          <w:bCs/>
          <w:color w:val="333333"/>
          <w:rtl/>
        </w:rPr>
        <w:t>לשעבעס</w:t>
      </w:r>
      <w:proofErr w:type="spellEnd"/>
      <w:r w:rsidRPr="00EB2B34">
        <w:rPr>
          <w:rFonts w:ascii="meoded_regular" w:hAnsi="meoded_regular" w:hint="cs"/>
          <w:b/>
          <w:bCs/>
          <w:color w:val="333333"/>
          <w:rtl/>
        </w:rPr>
        <w:t xml:space="preserve"> בניוזלטר השבוע</w:t>
      </w:r>
    </w:p>
    <w:p w:rsidR="00EB2B34" w:rsidRPr="00EB2B34" w:rsidRDefault="00EB2B34" w:rsidP="00EB2B34">
      <w:pPr>
        <w:pStyle w:val="a3"/>
        <w:rPr>
          <w:rFonts w:ascii="meoded_regular" w:hAnsi="meoded_regular"/>
          <w:color w:val="333333"/>
          <w:rtl/>
        </w:rPr>
      </w:pPr>
      <w:r w:rsidRPr="00EB2B34">
        <w:rPr>
          <w:rFonts w:ascii="meoded_regular" w:hAnsi="meoded_regular"/>
          <w:color w:val="333333"/>
          <w:rtl/>
        </w:rPr>
        <w:t xml:space="preserve">עמנואל </w:t>
      </w:r>
      <w:proofErr w:type="spellStart"/>
      <w:r w:rsidRPr="00EB2B34">
        <w:rPr>
          <w:rFonts w:ascii="meoded_regular" w:hAnsi="meoded_regular"/>
          <w:color w:val="333333"/>
          <w:rtl/>
        </w:rPr>
        <w:t>לוינס</w:t>
      </w:r>
      <w:proofErr w:type="spellEnd"/>
      <w:r w:rsidRPr="00EB2B34">
        <w:rPr>
          <w:rFonts w:ascii="meoded_regular" w:hAnsi="meoded_regular"/>
          <w:color w:val="333333"/>
          <w:rtl/>
        </w:rPr>
        <w:t xml:space="preserve"> </w:t>
      </w:r>
      <w:proofErr w:type="spellStart"/>
      <w:r w:rsidRPr="00EB2B34">
        <w:rPr>
          <w:rFonts w:ascii="meoded_regular" w:hAnsi="meoded_regular"/>
          <w:color w:val="333333"/>
          <w:rtl/>
        </w:rPr>
        <w:t>וז'אק</w:t>
      </w:r>
      <w:proofErr w:type="spellEnd"/>
      <w:r w:rsidRPr="00EB2B34">
        <w:rPr>
          <w:rFonts w:ascii="meoded_regular" w:hAnsi="meoded_regular"/>
          <w:color w:val="333333"/>
          <w:rtl/>
        </w:rPr>
        <w:t xml:space="preserve"> </w:t>
      </w:r>
      <w:proofErr w:type="spellStart"/>
      <w:r w:rsidRPr="00EB2B34">
        <w:rPr>
          <w:rFonts w:ascii="meoded_regular" w:hAnsi="meoded_regular"/>
          <w:color w:val="333333"/>
          <w:rtl/>
        </w:rPr>
        <w:t>דרידה</w:t>
      </w:r>
      <w:proofErr w:type="spellEnd"/>
      <w:r w:rsidRPr="00EB2B34">
        <w:rPr>
          <w:rFonts w:ascii="meoded_regular" w:hAnsi="meoded_regular"/>
          <w:color w:val="333333"/>
          <w:rtl/>
        </w:rPr>
        <w:t>, שני הוגים יהודיים בולטים מן המאה העשרים, הקדישו מהגותם למבט מעמיק בהכנסת האורחים, והציבו בפנינו משהו מהמורכבות שלה. נצעד קצת בעקבותיהם בשבילי הפרשה שלנו.</w:t>
      </w:r>
    </w:p>
    <w:p w:rsidR="00EB2B34" w:rsidRPr="00EB2B34" w:rsidRDefault="00EB2B34" w:rsidP="00EB2B34">
      <w:pPr>
        <w:pStyle w:val="a3"/>
        <w:rPr>
          <w:rFonts w:ascii="meoded_regular" w:hAnsi="meoded_regular"/>
          <w:color w:val="333333"/>
          <w:rtl/>
        </w:rPr>
      </w:pPr>
      <w:r w:rsidRPr="00EB2B34">
        <w:rPr>
          <w:rFonts w:ascii="meoded_regular" w:hAnsi="meoded_regular"/>
          <w:color w:val="333333"/>
          <w:rtl/>
        </w:rPr>
        <w:t> </w:t>
      </w:r>
    </w:p>
    <w:p w:rsidR="00EB2B34" w:rsidRPr="00EB2B34" w:rsidRDefault="00EB2B34" w:rsidP="00EB2B34">
      <w:pPr>
        <w:pStyle w:val="a3"/>
        <w:rPr>
          <w:rFonts w:ascii="meoded_regular" w:hAnsi="meoded_regular"/>
          <w:color w:val="333333"/>
          <w:rtl/>
        </w:rPr>
      </w:pPr>
      <w:r w:rsidRPr="00EB2B34">
        <w:rPr>
          <w:rFonts w:ascii="meoded_regular" w:hAnsi="meoded_regular"/>
          <w:color w:val="333333"/>
          <w:rtl/>
        </w:rPr>
        <w:t>"</w:t>
      </w:r>
      <w:proofErr w:type="spellStart"/>
      <w:r w:rsidRPr="00EB2B34">
        <w:rPr>
          <w:rFonts w:ascii="meoded_regular" w:hAnsi="meoded_regular"/>
          <w:color w:val="333333"/>
          <w:rtl/>
        </w:rPr>
        <w:t>וַיִּשָּׂא</w:t>
      </w:r>
      <w:proofErr w:type="spellEnd"/>
      <w:r w:rsidRPr="00EB2B34">
        <w:rPr>
          <w:rFonts w:ascii="meoded_regular" w:hAnsi="meoded_regular"/>
          <w:color w:val="333333"/>
          <w:rtl/>
        </w:rPr>
        <w:t xml:space="preserve"> עֵינָיו, וַיַּרְא, וְהִנֵּה שְׁלֹשָׁה אֲנָשִׁים, </w:t>
      </w:r>
      <w:proofErr w:type="spellStart"/>
      <w:r w:rsidRPr="00EB2B34">
        <w:rPr>
          <w:rFonts w:ascii="meoded_regular" w:hAnsi="meoded_regular"/>
          <w:color w:val="333333"/>
          <w:rtl/>
        </w:rPr>
        <w:t>נִצָּבִים</w:t>
      </w:r>
      <w:proofErr w:type="spellEnd"/>
      <w:r w:rsidRPr="00EB2B34">
        <w:rPr>
          <w:rFonts w:ascii="meoded_regular" w:hAnsi="meoded_regular"/>
          <w:color w:val="333333"/>
          <w:rtl/>
        </w:rPr>
        <w:t xml:space="preserve"> עָלָיו; וַיַּרְא, </w:t>
      </w:r>
      <w:proofErr w:type="spellStart"/>
      <w:r w:rsidRPr="00EB2B34">
        <w:rPr>
          <w:rFonts w:ascii="meoded_regular" w:hAnsi="meoded_regular"/>
          <w:color w:val="333333"/>
          <w:rtl/>
        </w:rPr>
        <w:t>וַיָּרָץ</w:t>
      </w:r>
      <w:proofErr w:type="spellEnd"/>
      <w:r w:rsidRPr="00EB2B34">
        <w:rPr>
          <w:rFonts w:ascii="meoded_regular" w:hAnsi="meoded_regular"/>
          <w:color w:val="333333"/>
          <w:rtl/>
        </w:rPr>
        <w:t xml:space="preserve"> לִקְרָאתָם מִפֶּתַח הָאֹהֶל, </w:t>
      </w:r>
      <w:proofErr w:type="spellStart"/>
      <w:r w:rsidRPr="00EB2B34">
        <w:rPr>
          <w:rFonts w:ascii="meoded_regular" w:hAnsi="meoded_regular"/>
          <w:color w:val="333333"/>
          <w:rtl/>
        </w:rPr>
        <w:t>וַיִּשְׁתַּחוּ</w:t>
      </w:r>
      <w:proofErr w:type="spellEnd"/>
      <w:r w:rsidRPr="00EB2B34">
        <w:rPr>
          <w:rFonts w:ascii="meoded_regular" w:hAnsi="meoded_regular"/>
          <w:color w:val="333333"/>
          <w:rtl/>
        </w:rPr>
        <w:t>, אָרְצָה."</w:t>
      </w:r>
    </w:p>
    <w:p w:rsidR="00EB2B34" w:rsidRPr="00EB2B34" w:rsidRDefault="00EB2B34" w:rsidP="00EB2B34">
      <w:pPr>
        <w:pStyle w:val="a3"/>
        <w:rPr>
          <w:rFonts w:ascii="meoded_regular" w:hAnsi="meoded_regular"/>
          <w:color w:val="333333"/>
          <w:rtl/>
        </w:rPr>
      </w:pPr>
      <w:r w:rsidRPr="00EB2B34">
        <w:rPr>
          <w:rFonts w:ascii="meoded_regular" w:hAnsi="meoded_regular"/>
          <w:color w:val="333333"/>
          <w:rtl/>
        </w:rPr>
        <w:t> </w:t>
      </w:r>
    </w:p>
    <w:p w:rsidR="00EB2B34" w:rsidRPr="00EB2B34" w:rsidRDefault="00EB2B34" w:rsidP="00EB2B34">
      <w:pPr>
        <w:pStyle w:val="a3"/>
        <w:rPr>
          <w:rFonts w:ascii="meoded_regular" w:hAnsi="meoded_regular"/>
          <w:color w:val="333333"/>
          <w:rtl/>
        </w:rPr>
      </w:pPr>
      <w:r w:rsidRPr="00EB2B34">
        <w:rPr>
          <w:rFonts w:ascii="meoded_regular" w:hAnsi="meoded_regular"/>
          <w:color w:val="333333"/>
          <w:rtl/>
        </w:rPr>
        <w:t>התביעה של האורח היא אין סופית: הוא דורש להתקבל בנוחות ובאופן מלא, להיות בבית, כאשר תביעה זו עצמה למעשה מפרקת את הבית שאליו הוא נכנס, מאיימת על יציבותו. כיצד יוכל הבית להכיל את האחר? הזרות של האורח, רגליו המלוכלכות, רעבונו - כל אלו מפריעים את שלוותו של הבית. המארח נדרש להכיל ולקבל, לפתוח את ביתו, ולא להסתפק בעמדת השכן המינורית והמרוחקת.</w:t>
      </w:r>
    </w:p>
    <w:p w:rsidR="00EB2B34" w:rsidRPr="00EB2B34" w:rsidRDefault="00EB2B34" w:rsidP="00EB2B34">
      <w:pPr>
        <w:pStyle w:val="a3"/>
        <w:rPr>
          <w:rFonts w:ascii="meoded_regular" w:hAnsi="meoded_regular"/>
          <w:color w:val="333333"/>
          <w:rtl/>
        </w:rPr>
      </w:pPr>
      <w:r w:rsidRPr="00EB2B34">
        <w:rPr>
          <w:rFonts w:ascii="meoded_regular" w:hAnsi="meoded_regular"/>
          <w:color w:val="333333"/>
          <w:rtl/>
        </w:rPr>
        <w:t>היכולת לארח באמת תלויה ביכולת של הבית להתגמש, לא להתקשח בעמדתו. קירות הבית נדרשים להיות יריעות אוהל מתנפנפות, פתחים לארבע רוחות השמים. המארח נדרש לוותר על מקומו, לרוץ מפתח האוהל אל האורח. האפשרות לפגוש את האחר באמת, לתת לו מקום בתוכי, מצריכה וויתור על האגו הנוקשה, הרפיה מעמדה יציבה של נוכחות וקבלת פניו של האחר כקודמים לי.</w:t>
      </w:r>
    </w:p>
    <w:p w:rsidR="00EB2B34" w:rsidRPr="00EB2B34" w:rsidRDefault="00EB2B34" w:rsidP="00EB2B34">
      <w:pPr>
        <w:pStyle w:val="a3"/>
        <w:rPr>
          <w:rFonts w:ascii="meoded_regular" w:hAnsi="meoded_regular"/>
          <w:color w:val="333333"/>
          <w:rtl/>
        </w:rPr>
      </w:pPr>
      <w:r w:rsidRPr="00EB2B34">
        <w:rPr>
          <w:rFonts w:ascii="meoded_regular" w:hAnsi="meoded_regular"/>
          <w:color w:val="333333"/>
          <w:rtl/>
        </w:rPr>
        <w:t> </w:t>
      </w:r>
    </w:p>
    <w:p w:rsidR="00EB2B34" w:rsidRPr="00EB2B34" w:rsidRDefault="00EB2B34" w:rsidP="00EB2B34">
      <w:pPr>
        <w:pStyle w:val="a3"/>
        <w:rPr>
          <w:rFonts w:ascii="meoded_regular" w:hAnsi="meoded_regular"/>
          <w:color w:val="333333"/>
          <w:rtl/>
        </w:rPr>
      </w:pPr>
      <w:r w:rsidRPr="00EB2B34">
        <w:rPr>
          <w:rFonts w:ascii="meoded_regular" w:hAnsi="meoded_regular"/>
          <w:color w:val="333333"/>
          <w:rtl/>
        </w:rPr>
        <w:t>עם זאת, הכנסת האורחים אינה מפרקת את הבית. ההיפך הוא הנכון: למעשה, היא תנאי הכרחי לביתיות עמוקה.</w:t>
      </w:r>
    </w:p>
    <w:p w:rsidR="00EB2B34" w:rsidRPr="00EB2B34" w:rsidRDefault="00EB2B34" w:rsidP="00EB2B34">
      <w:pPr>
        <w:pStyle w:val="a3"/>
        <w:rPr>
          <w:rFonts w:ascii="meoded_regular" w:hAnsi="meoded_regular"/>
          <w:color w:val="333333"/>
          <w:rtl/>
        </w:rPr>
      </w:pPr>
      <w:r w:rsidRPr="00EB2B34">
        <w:rPr>
          <w:rFonts w:ascii="meoded_regular" w:hAnsi="meoded_regular"/>
          <w:color w:val="333333"/>
          <w:rtl/>
        </w:rPr>
        <w:t xml:space="preserve">המעשה הפותח של הפרשה כורך את הכנסת האורחים בפקידתה של שרה. הויטאליות והקיום של הבית הם תוצר של הכנסת האורחים, שדווקא בכוחה לשחרר את החסימות של הבית,להפוך אותו לבית של ממש. המבט הזר של האורח, בקיעת קירותיו של הבית - אלה הופכים לתנועה מפרה ומעוררת, המגלה משהו חדש בבית עצמו. למעשה, המארח זוכה גם הוא להתארח בביתו יחד עם האורח. רק עם כניסתו של האורח נהיה הבית לבית, שהרי הכנסתו חושפת את האינסופיות של הבית עצמו. הפריון תלוי בוויתור הזה, בעמדה הרפויה והנינוחה של </w:t>
      </w:r>
      <w:proofErr w:type="spellStart"/>
      <w:r w:rsidRPr="00EB2B34">
        <w:rPr>
          <w:rFonts w:ascii="meoded_regular" w:hAnsi="meoded_regular"/>
          <w:color w:val="333333"/>
          <w:rtl/>
        </w:rPr>
        <w:t>ה'היות</w:t>
      </w:r>
      <w:proofErr w:type="spellEnd"/>
      <w:r w:rsidRPr="00EB2B34">
        <w:rPr>
          <w:rFonts w:ascii="meoded_regular" w:hAnsi="meoded_regular"/>
          <w:color w:val="333333"/>
          <w:rtl/>
        </w:rPr>
        <w:t xml:space="preserve"> בבית'. </w:t>
      </w:r>
    </w:p>
    <w:p w:rsidR="00EB2B34" w:rsidRPr="00EB2B34" w:rsidRDefault="00EB2B34" w:rsidP="00EB2B34">
      <w:pPr>
        <w:pStyle w:val="a3"/>
        <w:rPr>
          <w:rFonts w:ascii="meoded_regular" w:hAnsi="meoded_regular"/>
          <w:color w:val="333333"/>
          <w:rtl/>
        </w:rPr>
      </w:pPr>
      <w:r w:rsidRPr="00EB2B34">
        <w:rPr>
          <w:rFonts w:ascii="meoded_regular" w:hAnsi="meoded_regular"/>
          <w:color w:val="333333"/>
          <w:rtl/>
        </w:rPr>
        <w:t> </w:t>
      </w:r>
    </w:p>
    <w:p w:rsidR="00491CDB" w:rsidRDefault="00EB2B34" w:rsidP="00114B8A">
      <w:pPr>
        <w:pStyle w:val="a3"/>
        <w:rPr>
          <w:rtl/>
        </w:rPr>
      </w:pPr>
      <w:r w:rsidRPr="00EB2B34">
        <w:rPr>
          <w:rFonts w:ascii="meoded_regular" w:hAnsi="meoded_regular"/>
          <w:color w:val="333333"/>
          <w:rtl/>
        </w:rPr>
        <w:t xml:space="preserve">לדברים אלו משמעות רבה במערכת היחסים שבין אדם </w:t>
      </w:r>
      <w:proofErr w:type="spellStart"/>
      <w:r w:rsidRPr="00EB2B34">
        <w:rPr>
          <w:rFonts w:ascii="meoded_regular" w:hAnsi="meoded_regular"/>
          <w:color w:val="333333"/>
          <w:rtl/>
        </w:rPr>
        <w:t>לחבירו</w:t>
      </w:r>
      <w:proofErr w:type="spellEnd"/>
      <w:r w:rsidRPr="00EB2B34">
        <w:rPr>
          <w:rFonts w:ascii="meoded_regular" w:hAnsi="meoded_regular"/>
          <w:color w:val="333333"/>
          <w:rtl/>
        </w:rPr>
        <w:t xml:space="preserve">, ובזמננו הם מהדהדים היטב גם במבט רחב על המתרחש בעולם. שאלת הזר והאחר, האפשרות לקבל את פניו של האורח בלי לפרק את הבית - אלו שאלות המנסרות בחללו של עולם. האם התנועה </w:t>
      </w:r>
      <w:proofErr w:type="spellStart"/>
      <w:r w:rsidRPr="00EB2B34">
        <w:rPr>
          <w:rFonts w:ascii="meoded_regular" w:hAnsi="meoded_regular"/>
          <w:color w:val="333333"/>
          <w:rtl/>
        </w:rPr>
        <w:t>הלוינסית</w:t>
      </w:r>
      <w:proofErr w:type="spellEnd"/>
      <w:r w:rsidRPr="00EB2B34">
        <w:rPr>
          <w:rFonts w:ascii="meoded_regular" w:hAnsi="meoded_regular"/>
          <w:color w:val="333333"/>
          <w:rtl/>
        </w:rPr>
        <w:t xml:space="preserve"> הזו היא מן האפשר? האם אפשרית קבלה מלאה של האחר, ללא תנאי והגבלה?</w:t>
      </w:r>
      <w:r w:rsidR="00114B8A">
        <w:rPr>
          <w:rtl/>
        </w:rPr>
        <w:t xml:space="preserve"> </w:t>
      </w:r>
    </w:p>
    <w:p w:rsidR="00491CDB" w:rsidRDefault="00491CDB" w:rsidP="00491CDB">
      <w:pPr>
        <w:pStyle w:val="a3"/>
      </w:pPr>
    </w:p>
    <w:sectPr w:rsidR="00491CDB" w:rsidSect="00491CDB">
      <w:headerReference w:type="default" r:id="rId6"/>
      <w:pgSz w:w="11906" w:h="16838"/>
      <w:pgMar w:top="720" w:right="720" w:bottom="720" w:left="720" w:header="708" w:footer="708" w:gutter="0"/>
      <w:cols w:num="2" w:space="708"/>
      <w:bidi/>
      <w:rtlGutter/>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91CDB" w:rsidRDefault="00491CDB" w:rsidP="00491CDB">
      <w:r>
        <w:separator/>
      </w:r>
    </w:p>
  </w:endnote>
  <w:endnote w:type="continuationSeparator" w:id="1">
    <w:p w:rsidR="00491CDB" w:rsidRDefault="00491CDB" w:rsidP="00491CDB">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Miriam">
    <w:panose1 w:val="020B0502050101010101"/>
    <w:charset w:val="00"/>
    <w:family w:val="swiss"/>
    <w:pitch w:val="variable"/>
    <w:sig w:usb0="00000803" w:usb1="00000000" w:usb2="00000000" w:usb3="00000000" w:csb0="00000021" w:csb1="00000000"/>
  </w:font>
  <w:font w:name="Arial">
    <w:panose1 w:val="020B0604020202020204"/>
    <w:charset w:val="00"/>
    <w:family w:val="swiss"/>
    <w:pitch w:val="variable"/>
    <w:sig w:usb0="E0002EFF" w:usb1="C0007843" w:usb2="00000009" w:usb3="00000000" w:csb0="000001FF" w:csb1="00000000"/>
  </w:font>
  <w:font w:name="David">
    <w:panose1 w:val="020E0502060401010101"/>
    <w:charset w:val="00"/>
    <w:family w:val="swiss"/>
    <w:pitch w:val="variable"/>
    <w:sig w:usb0="00000803" w:usb1="00000000" w:usb2="00000000" w:usb3="00000000" w:csb0="00000021" w:csb1="00000000"/>
  </w:font>
  <w:font w:name="meoded_regular">
    <w:altName w:val="Times New Roman"/>
    <w:panose1 w:val="00000000000000000000"/>
    <w:charset w:val="00"/>
    <w:family w:val="roman"/>
    <w:notTrueType/>
    <w:pitch w:val="default"/>
    <w:sig w:usb0="00000000" w:usb1="00000000" w:usb2="00000000" w:usb3="00000000" w:csb0="00000000"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91CDB" w:rsidRDefault="00491CDB" w:rsidP="00491CDB">
      <w:r>
        <w:separator/>
      </w:r>
    </w:p>
  </w:footnote>
  <w:footnote w:type="continuationSeparator" w:id="1">
    <w:p w:rsidR="00491CDB" w:rsidRDefault="00491CDB" w:rsidP="00491CDB">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tl/>
      </w:rPr>
      <w:id w:val="166056391"/>
      <w:docPartObj>
        <w:docPartGallery w:val="Page Numbers (Top of Page)"/>
        <w:docPartUnique/>
      </w:docPartObj>
    </w:sdtPr>
    <w:sdtContent>
      <w:p w:rsidR="00491CDB" w:rsidRDefault="002A0C54">
        <w:pPr>
          <w:pStyle w:val="a4"/>
          <w:jc w:val="center"/>
        </w:pPr>
        <w:fldSimple w:instr=" PAGE   \* MERGEFORMAT ">
          <w:r w:rsidR="00C74799" w:rsidRPr="00C74799">
            <w:rPr>
              <w:rFonts w:cs="Calibri"/>
              <w:noProof/>
              <w:rtl/>
              <w:lang w:val="he-IL"/>
            </w:rPr>
            <w:t>1</w:t>
          </w:r>
        </w:fldSimple>
      </w:p>
    </w:sdtContent>
  </w:sdt>
  <w:p w:rsidR="00491CDB" w:rsidRDefault="00491CDB">
    <w:pPr>
      <w:pStyle w:val="a4"/>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4"/>
  <w:proofState w:spelling="clean" w:grammar="clean"/>
  <w:defaultTabStop w:val="720"/>
  <w:drawingGridHorizontalSpacing w:val="100"/>
  <w:displayHorizontalDrawingGridEvery w:val="2"/>
  <w:characterSpacingControl w:val="doNotCompress"/>
  <w:footnotePr>
    <w:footnote w:id="0"/>
    <w:footnote w:id="1"/>
  </w:footnotePr>
  <w:endnotePr>
    <w:endnote w:id="0"/>
    <w:endnote w:id="1"/>
  </w:endnotePr>
  <w:compat/>
  <w:rsids>
    <w:rsidRoot w:val="00491CDB"/>
    <w:rsid w:val="00005F8A"/>
    <w:rsid w:val="0008118E"/>
    <w:rsid w:val="0008203C"/>
    <w:rsid w:val="000A2FD4"/>
    <w:rsid w:val="00114B8A"/>
    <w:rsid w:val="001349D9"/>
    <w:rsid w:val="00142F79"/>
    <w:rsid w:val="002A0C54"/>
    <w:rsid w:val="003A5ED5"/>
    <w:rsid w:val="003B4DC8"/>
    <w:rsid w:val="00491CDB"/>
    <w:rsid w:val="00634FB7"/>
    <w:rsid w:val="006B79A7"/>
    <w:rsid w:val="00750381"/>
    <w:rsid w:val="00B375CE"/>
    <w:rsid w:val="00C74799"/>
    <w:rsid w:val="00CF21FD"/>
    <w:rsid w:val="00D542B9"/>
    <w:rsid w:val="00D6099C"/>
    <w:rsid w:val="00DE2589"/>
    <w:rsid w:val="00EB2B34"/>
    <w:rsid w:val="00F2356E"/>
  </w:rsids>
  <m:mathPr>
    <m:mathFont m:val="Cambria Math"/>
    <m:brkBin m:val="before"/>
    <m:brkBinSub m:val="--"/>
    <m:smallFrac m:val="off"/>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ajorBidi" w:eastAsiaTheme="minorHAnsi" w:hAnsiTheme="majorBidi" w:cs="Times New Roman"/>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349D9"/>
    <w:pPr>
      <w:bidi/>
      <w:spacing w:after="0" w:line="240" w:lineRule="auto"/>
    </w:pPr>
    <w:rPr>
      <w:rFonts w:ascii="Times New Roman" w:eastAsia="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491CDB"/>
    <w:pPr>
      <w:bidi/>
      <w:spacing w:after="0" w:line="240" w:lineRule="auto"/>
    </w:pPr>
  </w:style>
  <w:style w:type="paragraph" w:styleId="a4">
    <w:name w:val="header"/>
    <w:basedOn w:val="a"/>
    <w:link w:val="a5"/>
    <w:uiPriority w:val="99"/>
    <w:unhideWhenUsed/>
    <w:rsid w:val="00491CDB"/>
    <w:pPr>
      <w:tabs>
        <w:tab w:val="center" w:pos="4153"/>
        <w:tab w:val="right" w:pos="8306"/>
      </w:tabs>
    </w:pPr>
    <w:rPr>
      <w:rFonts w:asciiTheme="majorBidi" w:eastAsiaTheme="minorHAnsi" w:hAnsiTheme="majorBidi"/>
      <w:sz w:val="20"/>
      <w:szCs w:val="20"/>
    </w:rPr>
  </w:style>
  <w:style w:type="character" w:customStyle="1" w:styleId="a5">
    <w:name w:val="כותרת עליונה תו"/>
    <w:basedOn w:val="a0"/>
    <w:link w:val="a4"/>
    <w:uiPriority w:val="99"/>
    <w:rsid w:val="00491CDB"/>
  </w:style>
  <w:style w:type="paragraph" w:styleId="a6">
    <w:name w:val="footer"/>
    <w:basedOn w:val="a"/>
    <w:link w:val="a7"/>
    <w:uiPriority w:val="99"/>
    <w:semiHidden/>
    <w:unhideWhenUsed/>
    <w:rsid w:val="00491CDB"/>
    <w:pPr>
      <w:tabs>
        <w:tab w:val="center" w:pos="4153"/>
        <w:tab w:val="right" w:pos="8306"/>
      </w:tabs>
    </w:pPr>
    <w:rPr>
      <w:rFonts w:asciiTheme="majorBidi" w:eastAsiaTheme="minorHAnsi" w:hAnsiTheme="majorBidi"/>
      <w:sz w:val="20"/>
      <w:szCs w:val="20"/>
    </w:rPr>
  </w:style>
  <w:style w:type="character" w:customStyle="1" w:styleId="a7">
    <w:name w:val="כותרת תחתונה תו"/>
    <w:basedOn w:val="a0"/>
    <w:link w:val="a6"/>
    <w:uiPriority w:val="99"/>
    <w:semiHidden/>
    <w:rsid w:val="00491CDB"/>
  </w:style>
  <w:style w:type="paragraph" w:styleId="a8">
    <w:name w:val="footnote text"/>
    <w:aliases w:val="Footnote Text Char Char Char,Footnote Text Char Char,Footnote Text Char Char Char Char,טקסט הערות שוליים תו"/>
    <w:basedOn w:val="a"/>
    <w:link w:val="a9"/>
    <w:semiHidden/>
    <w:rsid w:val="001349D9"/>
    <w:rPr>
      <w:rFonts w:cs="Miriam"/>
      <w:noProof/>
      <w:sz w:val="20"/>
      <w:szCs w:val="20"/>
      <w:lang w:eastAsia="he-IL"/>
    </w:rPr>
  </w:style>
  <w:style w:type="character" w:customStyle="1" w:styleId="a9">
    <w:name w:val="טקסט הערת שוליים תו"/>
    <w:aliases w:val="Footnote Text Char Char Char תו,Footnote Text Char Char תו,Footnote Text Char Char Char Char תו,טקסט הערות שוליים תו תו"/>
    <w:basedOn w:val="a0"/>
    <w:link w:val="a8"/>
    <w:semiHidden/>
    <w:rsid w:val="001349D9"/>
    <w:rPr>
      <w:rFonts w:ascii="Times New Roman" w:eastAsia="Times New Roman" w:hAnsi="Times New Roman" w:cs="Miriam"/>
      <w:noProof/>
      <w:lang w:eastAsia="he-IL"/>
    </w:rPr>
  </w:style>
  <w:style w:type="character" w:styleId="aa">
    <w:name w:val="footnote reference"/>
    <w:aliases w:val="Footnote Reference1"/>
    <w:basedOn w:val="a0"/>
    <w:qFormat/>
    <w:rsid w:val="001349D9"/>
    <w:rPr>
      <w:vertAlign w:val="superscript"/>
    </w:rPr>
  </w:style>
  <w:style w:type="paragraph" w:styleId="ab">
    <w:name w:val="Title"/>
    <w:basedOn w:val="a"/>
    <w:link w:val="ac"/>
    <w:qFormat/>
    <w:rsid w:val="00750381"/>
    <w:pPr>
      <w:spacing w:line="360" w:lineRule="auto"/>
      <w:jc w:val="center"/>
    </w:pPr>
    <w:rPr>
      <w:rFonts w:ascii="Arial" w:hAnsi="Arial" w:cs="Arial"/>
      <w:b/>
      <w:bCs/>
      <w:sz w:val="20"/>
      <w:szCs w:val="20"/>
      <w:u w:val="single"/>
    </w:rPr>
  </w:style>
  <w:style w:type="character" w:customStyle="1" w:styleId="ac">
    <w:name w:val="תואר תו"/>
    <w:basedOn w:val="a0"/>
    <w:link w:val="ab"/>
    <w:rsid w:val="00750381"/>
    <w:rPr>
      <w:rFonts w:ascii="Arial" w:eastAsia="Times New Roman" w:hAnsi="Arial" w:cs="Arial"/>
      <w:b/>
      <w:bCs/>
      <w:u w:val="single"/>
    </w:rPr>
  </w:style>
  <w:style w:type="character" w:customStyle="1" w:styleId="by">
    <w:name w:val="by"/>
    <w:basedOn w:val="a0"/>
    <w:rsid w:val="00EB2B34"/>
  </w:style>
  <w:style w:type="character" w:styleId="ad">
    <w:name w:val="Strong"/>
    <w:basedOn w:val="a0"/>
    <w:uiPriority w:val="22"/>
    <w:qFormat/>
    <w:rsid w:val="00EB2B34"/>
    <w:rPr>
      <w:b/>
      <w:bCs/>
    </w:rPr>
  </w:style>
  <w:style w:type="paragraph" w:styleId="NormalWeb">
    <w:name w:val="Normal (Web)"/>
    <w:basedOn w:val="a"/>
    <w:uiPriority w:val="99"/>
    <w:semiHidden/>
    <w:unhideWhenUsed/>
    <w:rsid w:val="00EB2B34"/>
    <w:pPr>
      <w:bidi w:val="0"/>
      <w:spacing w:before="100" w:beforeAutospacing="1" w:after="100" w:afterAutospacing="1"/>
    </w:pPr>
  </w:style>
</w:styles>
</file>

<file path=word/webSettings.xml><?xml version="1.0" encoding="utf-8"?>
<w:webSettings xmlns:r="http://schemas.openxmlformats.org/officeDocument/2006/relationships" xmlns:w="http://schemas.openxmlformats.org/wordprocessingml/2006/main">
  <w:divs>
    <w:div w:id="1518737308">
      <w:bodyDiv w:val="1"/>
      <w:marLeft w:val="0"/>
      <w:marRight w:val="0"/>
      <w:marTop w:val="0"/>
      <w:marBottom w:val="0"/>
      <w:divBdr>
        <w:top w:val="none" w:sz="0" w:space="0" w:color="auto"/>
        <w:left w:val="none" w:sz="0" w:space="0" w:color="auto"/>
        <w:bottom w:val="none" w:sz="0" w:space="0" w:color="auto"/>
        <w:right w:val="none" w:sz="0" w:space="0" w:color="auto"/>
      </w:divBdr>
      <w:divsChild>
        <w:div w:id="845555133">
          <w:marLeft w:val="0"/>
          <w:marRight w:val="0"/>
          <w:marTop w:val="0"/>
          <w:marBottom w:val="223"/>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51</TotalTime>
  <Pages>2</Pages>
  <Words>2389</Words>
  <Characters>11950</Characters>
  <Application>Microsoft Office Word</Application>
  <DocSecurity>0</DocSecurity>
  <Lines>99</Lines>
  <Paragraphs>28</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14311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user1</dc:creator>
  <cp:lastModifiedBy>user1</cp:lastModifiedBy>
  <cp:revision>5</cp:revision>
  <dcterms:created xsi:type="dcterms:W3CDTF">2016-11-16T17:58:00Z</dcterms:created>
  <dcterms:modified xsi:type="dcterms:W3CDTF">2016-11-17T06:20:00Z</dcterms:modified>
</cp:coreProperties>
</file>