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540A" w:rsidRDefault="00D9540A" w:rsidP="00D9540A">
      <w:pPr>
        <w:jc w:val="center"/>
        <w:rPr>
          <w:b/>
          <w:bCs/>
          <w:rtl/>
        </w:rPr>
      </w:pPr>
      <w:proofErr w:type="spellStart"/>
      <w:r>
        <w:rPr>
          <w:rFonts w:hint="cs"/>
          <w:b/>
          <w:bCs/>
          <w:rtl/>
        </w:rPr>
        <w:t>פילסוף</w:t>
      </w:r>
      <w:proofErr w:type="spellEnd"/>
      <w:r>
        <w:rPr>
          <w:rFonts w:hint="cs"/>
          <w:b/>
          <w:bCs/>
          <w:rtl/>
        </w:rPr>
        <w:t xml:space="preserve"> תלמודי </w:t>
      </w:r>
      <w:r>
        <w:rPr>
          <w:b/>
          <w:bCs/>
          <w:rtl/>
        </w:rPr>
        <w:t>–</w:t>
      </w:r>
      <w:r>
        <w:rPr>
          <w:rFonts w:hint="cs"/>
          <w:b/>
          <w:bCs/>
          <w:rtl/>
        </w:rPr>
        <w:t xml:space="preserve"> דף מקורות 1</w:t>
      </w:r>
    </w:p>
    <w:p w:rsidR="00D9540A" w:rsidRDefault="00D9540A" w:rsidP="00D9540A">
      <w:pPr>
        <w:jc w:val="center"/>
        <w:rPr>
          <w:b/>
          <w:bCs/>
          <w:rtl/>
        </w:rPr>
      </w:pPr>
      <w:bookmarkStart w:id="0" w:name="_GoBack"/>
      <w:bookmarkEnd w:id="0"/>
    </w:p>
    <w:p w:rsidR="00D9540A" w:rsidRPr="00D9540A" w:rsidRDefault="00D9540A" w:rsidP="00D9540A">
      <w:pPr>
        <w:rPr>
          <w:b/>
          <w:bCs/>
          <w:rtl/>
        </w:rPr>
      </w:pPr>
      <w:r w:rsidRPr="00D9540A">
        <w:rPr>
          <w:rFonts w:hint="cs"/>
          <w:b/>
          <w:bCs/>
          <w:rtl/>
        </w:rPr>
        <w:t>א.</w:t>
      </w:r>
    </w:p>
    <w:p w:rsidR="00D9540A" w:rsidRDefault="00D9540A" w:rsidP="00D9540A">
      <w:pPr>
        <w:rPr>
          <w:rtl/>
        </w:rPr>
      </w:pPr>
    </w:p>
    <w:p w:rsidR="00D9540A" w:rsidRDefault="00D9540A" w:rsidP="00D9540A">
      <w:pPr>
        <w:rPr>
          <w:rtl/>
        </w:rPr>
      </w:pPr>
      <w:r>
        <w:rPr>
          <w:rFonts w:hint="cs"/>
          <w:rtl/>
        </w:rPr>
        <w:t xml:space="preserve">"הרי דבר זה צריך שיהא מוסכם בינינו לגבי </w:t>
      </w:r>
      <w:proofErr w:type="spellStart"/>
      <w:r>
        <w:rPr>
          <w:rFonts w:hint="cs"/>
          <w:rtl/>
        </w:rPr>
        <w:t>הטבעים</w:t>
      </w:r>
      <w:proofErr w:type="spellEnd"/>
      <w:r>
        <w:rPr>
          <w:rFonts w:hint="cs"/>
          <w:rtl/>
        </w:rPr>
        <w:t xml:space="preserve"> הפילוסופיים: שתמיד משתוקקים הם ללימוד שיגלה להם משהו מאותה הוויה ההווה לעולם, ושאינה מתערערת מכוחם של התהוות וכיליון... ולא עוד אלא שהם משתוקקים אל כולה ומרצונם אינם מוותרים על חלק מחלקיה, לא על קטן ולא על גדול, ולא על חלק רב ערך ולא על פחות ערך ... ונוסף על כך ... הריחוק מן השקר, והחלטתו של אדם שבשום פנים לא יקבל את השקר בלבבו, אלא ישנא אותו, ויחשוק באמת". (</w:t>
      </w:r>
      <w:proofErr w:type="spellStart"/>
      <w:r>
        <w:rPr>
          <w:rFonts w:hint="cs"/>
          <w:rtl/>
        </w:rPr>
        <w:t>פוליטאה</w:t>
      </w:r>
      <w:proofErr w:type="spellEnd"/>
      <w:r>
        <w:rPr>
          <w:rFonts w:hint="cs"/>
          <w:rtl/>
        </w:rPr>
        <w:t xml:space="preserve"> ו' </w:t>
      </w:r>
      <w:r>
        <w:rPr>
          <w:rtl/>
        </w:rPr>
        <w:t>–</w:t>
      </w:r>
      <w:r>
        <w:rPr>
          <w:rFonts w:hint="cs"/>
          <w:rtl/>
        </w:rPr>
        <w:t xml:space="preserve"> 379-380).</w:t>
      </w:r>
    </w:p>
    <w:p w:rsidR="00D9540A" w:rsidRDefault="00D9540A" w:rsidP="00D9540A">
      <w:pPr>
        <w:rPr>
          <w:rtl/>
        </w:rPr>
      </w:pPr>
      <w:r>
        <w:rPr>
          <w:rFonts w:hint="cs"/>
          <w:rtl/>
        </w:rPr>
        <w:t xml:space="preserve">"ובכן, אם בתגובה לכך הייתם אומרים לי: 'סוקרטס, הפעם לא נמלא את בקשתו של </w:t>
      </w:r>
      <w:proofErr w:type="spellStart"/>
      <w:r>
        <w:rPr>
          <w:rFonts w:hint="cs"/>
          <w:rtl/>
        </w:rPr>
        <w:t>אניטוס</w:t>
      </w:r>
      <w:proofErr w:type="spellEnd"/>
      <w:r>
        <w:rPr>
          <w:rFonts w:hint="cs"/>
          <w:rtl/>
        </w:rPr>
        <w:t xml:space="preserve"> ואנחנו מזכים אותך בתנאי שלא תבזבז יותר את זמנך בחקירה הזאת ולא תעסוק בפילוסופיה. אם תיתפס כשאתה עדיין עוסק בכך, תמות!' ובכן, אילו אכן זיכיתם אותי על בסיס התנאים האלה הייתי אומר: 'רבותי האתונאים, אני אוהב ומעריך אתכם, אבל אציית לאל יותר מאשר לכם, וכל עוד נשמה באפי וכל עוד אני יכול לא אפסיק לעוסק בפילוסופיה ולעורר אתכם, ובסגנוני הרגיל לומר לכל אחד מכם שאפגוש: 'הוא הטוב באנשים, איש אתונה, בן המדינה האדירה והמפורסמת ביותר בחוכמתה ובעוצמתה, האם אינך מתבייש לצבור כסף ככל יכולתך, ושם ותהילה, ואילו לתבונה, לאמת ולנפשך, שתהיה טובה ככל האפשר, אינך דואג ואינך מקדיש מחשבה?... שיהיה לכם ברור: אם תהרגו אותי... לא תפגעו בי יותר מכפי שתפגעו בעצמכם. שכן ... אני מאמין שהחוק האלוהי לא מתיר שאדם טוב ייפגע על ידי אדם רע. זה האחרון אולי יכול להוציא להורג אדם מסוים או להגלותו או לשלול את זכויותיו האזרחיות... התובע, ואני מניח שגם אחרים </w:t>
      </w:r>
      <w:r>
        <w:rPr>
          <w:rtl/>
        </w:rPr>
        <w:t>–</w:t>
      </w:r>
      <w:r>
        <w:rPr>
          <w:rFonts w:hint="cs"/>
          <w:rtl/>
        </w:rPr>
        <w:t xml:space="preserve"> חושב שאלה הן גזירות איומות, אבל אני לא חושב כך. אני, אם לדייק, חושב שהרבה יותר גרוע לעשות מה שהאיש הזה עושה עכשיו: לנסות להוציא להורג אדם שלא בצדק. לכן עכשיו, רבותי האתונאים, הרבה יותר מאשר להגן על עצמי, כמו שאפשר לצפות, אני מגן עליכם, שלא תנהגו שלא כיאות עם המתנה שנתן לכם האל ותרשיעו אותי. כי אם תוציאו אותי להורג, לא בקלות תמצאו אדם מסוגי... אם להשתמש לבשון קומית, הוצמדתי... למדינה על ידי האל כמו לסוס כביר ואציל, אשר מחמת גודלו הוא נוטה לנרפות וכדי להתעורר הוא זקוק לאיזה זבוב בקר. כן, אני חושב כי באופן הזה בדיוק הצמיד אותי האל למדינה. מין יצור שלא חדל לעורר ולשכנע אתכם, ולגעור בכל אחד מכם, ולהתיישב עליכם, כל היום, בכל מקום" (חייו ומותו של סוקרטס).</w:t>
      </w:r>
    </w:p>
    <w:p w:rsidR="00D9540A" w:rsidRDefault="00D9540A">
      <w:pPr>
        <w:rPr>
          <w:rtl/>
        </w:rPr>
      </w:pPr>
    </w:p>
    <w:p w:rsidR="008320FA" w:rsidRDefault="00D9540A">
      <w:pPr>
        <w:rPr>
          <w:b/>
          <w:bCs/>
          <w:rtl/>
        </w:rPr>
      </w:pPr>
      <w:r>
        <w:rPr>
          <w:rFonts w:hint="cs"/>
          <w:b/>
          <w:bCs/>
          <w:rtl/>
        </w:rPr>
        <w:t>ב.</w:t>
      </w:r>
    </w:p>
    <w:p w:rsidR="00D9540A" w:rsidRDefault="00D9540A">
      <w:pPr>
        <w:rPr>
          <w:b/>
          <w:bCs/>
          <w:rtl/>
        </w:rPr>
      </w:pPr>
      <w:proofErr w:type="spellStart"/>
      <w:r>
        <w:rPr>
          <w:rFonts w:hint="cs"/>
          <w:b/>
          <w:bCs/>
          <w:rtl/>
        </w:rPr>
        <w:t>היינמן</w:t>
      </w:r>
      <w:proofErr w:type="spellEnd"/>
      <w:r>
        <w:rPr>
          <w:rFonts w:hint="cs"/>
          <w:b/>
          <w:bCs/>
          <w:rtl/>
        </w:rPr>
        <w:t>:</w:t>
      </w:r>
    </w:p>
    <w:p w:rsidR="00D9540A" w:rsidRDefault="00D9540A" w:rsidP="00D9540A">
      <w:pPr>
        <w:rPr>
          <w:rtl/>
        </w:rPr>
      </w:pPr>
      <w:r>
        <w:rPr>
          <w:rFonts w:hint="cs"/>
          <w:rtl/>
        </w:rPr>
        <w:t>רבותינו לא היו, כמובן, בעלי מחקר שיטתי אלא קרובים יותר לאותה החשיבה של "העמים הטבעיים" שהחוקרים מכנים אותה בשם "</w:t>
      </w:r>
      <w:proofErr w:type="spellStart"/>
      <w:r>
        <w:rPr>
          <w:rFonts w:hint="cs"/>
          <w:rtl/>
        </w:rPr>
        <w:t>פרמיטיבית</w:t>
      </w:r>
      <w:proofErr w:type="spellEnd"/>
      <w:r>
        <w:rPr>
          <w:rFonts w:hint="cs"/>
          <w:rtl/>
        </w:rPr>
        <w:t>". ביטוי זה יש בו משום רגש חמלה והשפלה; אנחנו נקרא לחשיבה זו בשם "אורגנית", על יסוד שלושת סימניה המובהקים...:</w:t>
      </w:r>
    </w:p>
    <w:p w:rsidR="00D9540A" w:rsidRDefault="00D9540A" w:rsidP="00D9540A">
      <w:pPr>
        <w:pStyle w:val="a3"/>
        <w:numPr>
          <w:ilvl w:val="0"/>
          <w:numId w:val="1"/>
        </w:numPr>
      </w:pPr>
      <w:r>
        <w:rPr>
          <w:rFonts w:hint="cs"/>
          <w:rtl/>
        </w:rPr>
        <w:lastRenderedPageBreak/>
        <w:t xml:space="preserve">היא דומה </w:t>
      </w:r>
      <w:proofErr w:type="spellStart"/>
      <w:r>
        <w:rPr>
          <w:rFonts w:hint="cs"/>
          <w:rtl/>
        </w:rPr>
        <w:t>באופיה</w:t>
      </w:r>
      <w:proofErr w:type="spellEnd"/>
      <w:r>
        <w:rPr>
          <w:rFonts w:hint="cs"/>
          <w:rtl/>
        </w:rPr>
        <w:t xml:space="preserve"> לדרך האורגניזמים... המשתנים לאט </w:t>
      </w:r>
      <w:proofErr w:type="spellStart"/>
      <w:r>
        <w:rPr>
          <w:rFonts w:hint="cs"/>
          <w:rtl/>
        </w:rPr>
        <w:t>לאט</w:t>
      </w:r>
      <w:proofErr w:type="spellEnd"/>
      <w:r>
        <w:rPr>
          <w:rFonts w:hint="cs"/>
          <w:rtl/>
        </w:rPr>
        <w:t xml:space="preserve"> מתוך שמירה על אפים. אין בהם התאבנות כל זמן שהם נשארים אורגניזמים: ומאידך "אין בטבע קפיצות". כך מפתחים העמים הטבעיים את יצירותיהם הרוחניות... את שירם ואת סיפוריהם: "זיכרון יוצר"...</w:t>
      </w:r>
    </w:p>
    <w:p w:rsidR="00D9540A" w:rsidRDefault="00D9540A" w:rsidP="00D9540A">
      <w:pPr>
        <w:pStyle w:val="a3"/>
        <w:numPr>
          <w:ilvl w:val="0"/>
          <w:numId w:val="1"/>
        </w:numPr>
      </w:pPr>
      <w:r>
        <w:rPr>
          <w:rFonts w:hint="cs"/>
          <w:rtl/>
        </w:rPr>
        <w:t>הפרט רואה את עצמו קודם כל כאבר בגוף קבוצתו ומתוך סיבוב הדם שלה אף הוא מקבל את כוחו...</w:t>
      </w:r>
    </w:p>
    <w:p w:rsidR="00D9540A" w:rsidRDefault="00D9540A" w:rsidP="00D9540A">
      <w:pPr>
        <w:pStyle w:val="a3"/>
        <w:numPr>
          <w:ilvl w:val="0"/>
          <w:numId w:val="1"/>
        </w:numPr>
      </w:pPr>
      <w:r>
        <w:rPr>
          <w:rFonts w:hint="cs"/>
          <w:rtl/>
        </w:rPr>
        <w:t xml:space="preserve">וכשם שהפרט לא נותק מן העם, כן </w:t>
      </w:r>
      <w:r>
        <w:rPr>
          <w:rtl/>
        </w:rPr>
        <w:t>–</w:t>
      </w:r>
      <w:r>
        <w:rPr>
          <w:rFonts w:hint="cs"/>
          <w:rtl/>
        </w:rPr>
        <w:t xml:space="preserve"> ואפילו מפני כך </w:t>
      </w:r>
      <w:r>
        <w:rPr>
          <w:rtl/>
        </w:rPr>
        <w:t>–</w:t>
      </w:r>
      <w:r>
        <w:rPr>
          <w:rFonts w:hint="cs"/>
          <w:rtl/>
        </w:rPr>
        <w:t xml:space="preserve"> אין פעולת השכל מנותקת משאר החיים הנפשיים. כל מושגי הפראים והילדים מוחשים ורוויי רגש הרבה יותר ממושגי הפילוסופים והפיזיקאים הביקורתיים. מקשרים הם </w:t>
      </w:r>
      <w:proofErr w:type="spellStart"/>
      <w:r>
        <w:rPr>
          <w:rFonts w:hint="cs"/>
          <w:rtl/>
        </w:rPr>
        <w:t>ענינים</w:t>
      </w:r>
      <w:proofErr w:type="spellEnd"/>
      <w:r>
        <w:rPr>
          <w:rFonts w:hint="cs"/>
          <w:rtl/>
        </w:rPr>
        <w:t xml:space="preserve"> על יסוד סימנים חיצוניים (ושוויון המספר ביניהם). להכרת הטבע והחיים הם מגיעים לא בעזרת "מנופים וברגים" כלומר על ידי ניסוי וההשוואה </w:t>
      </w:r>
      <w:proofErr w:type="spellStart"/>
      <w:r>
        <w:rPr>
          <w:rFonts w:hint="cs"/>
          <w:rtl/>
        </w:rPr>
        <w:t>האריתמתטית</w:t>
      </w:r>
      <w:proofErr w:type="spellEnd"/>
      <w:r>
        <w:rPr>
          <w:rFonts w:hint="cs"/>
          <w:rtl/>
        </w:rPr>
        <w:t xml:space="preserve">. אלא </w:t>
      </w:r>
      <w:proofErr w:type="spellStart"/>
      <w:r>
        <w:rPr>
          <w:rFonts w:hint="cs"/>
          <w:rtl/>
        </w:rPr>
        <w:t>בדךר</w:t>
      </w:r>
      <w:proofErr w:type="spellEnd"/>
      <w:r>
        <w:rPr>
          <w:rFonts w:hint="cs"/>
          <w:rtl/>
        </w:rPr>
        <w:t xml:space="preserve"> </w:t>
      </w:r>
      <w:proofErr w:type="spellStart"/>
      <w:r>
        <w:rPr>
          <w:rFonts w:hint="cs"/>
          <w:rtl/>
        </w:rPr>
        <w:t>הנסיון</w:t>
      </w:r>
      <w:proofErr w:type="spellEnd"/>
      <w:r>
        <w:rPr>
          <w:rFonts w:hint="cs"/>
          <w:rtl/>
        </w:rPr>
        <w:t xml:space="preserve"> ועל ידי האינטואיציה המופיעה דווקא בפתרון החידות. אין הבדל איפה... בין הפצת האמת לבין האומנות... אין "הכרה לשם הכרה" ואין "אומנות לשם אומנות", המשורר העממי מכניס את שומעיו "דרך שער היפה לתוך ארץ ההכרה" (</w:t>
      </w:r>
      <w:proofErr w:type="spellStart"/>
      <w:r>
        <w:rPr>
          <w:rFonts w:hint="cs"/>
          <w:rtl/>
        </w:rPr>
        <w:t>שילר</w:t>
      </w:r>
      <w:proofErr w:type="spellEnd"/>
      <w:r>
        <w:rPr>
          <w:rFonts w:hint="cs"/>
          <w:rtl/>
        </w:rPr>
        <w:t xml:space="preserve">). והחכם אינו סותר את הדמיון האמנותית ואינו מבדיל עדיין בין הנמצא באמת ליצירות נפשו </w:t>
      </w:r>
      <w:proofErr w:type="spellStart"/>
      <w:r>
        <w:rPr>
          <w:rFonts w:hint="cs"/>
          <w:rtl/>
        </w:rPr>
        <w:t>החפשיות</w:t>
      </w:r>
      <w:proofErr w:type="spellEnd"/>
      <w:r>
        <w:rPr>
          <w:rFonts w:hint="cs"/>
          <w:rtl/>
        </w:rPr>
        <w:t>...</w:t>
      </w:r>
    </w:p>
    <w:p w:rsidR="00D9540A" w:rsidRPr="00D9540A" w:rsidRDefault="00D9540A" w:rsidP="00D9540A">
      <w:pPr>
        <w:rPr>
          <w:b/>
          <w:bCs/>
          <w:rtl/>
        </w:rPr>
      </w:pPr>
      <w:r w:rsidRPr="00D9540A">
        <w:rPr>
          <w:rFonts w:hint="cs"/>
          <w:b/>
          <w:bCs/>
          <w:rtl/>
        </w:rPr>
        <w:t xml:space="preserve">ובאופן קונקרטי לגבי </w:t>
      </w:r>
      <w:r>
        <w:rPr>
          <w:rFonts w:hint="cs"/>
          <w:b/>
          <w:bCs/>
          <w:rtl/>
        </w:rPr>
        <w:t>ספרות התלמוד והמדרש</w:t>
      </w:r>
      <w:r w:rsidRPr="00D9540A">
        <w:rPr>
          <w:rFonts w:hint="cs"/>
          <w:b/>
          <w:bCs/>
          <w:rtl/>
        </w:rPr>
        <w:t>:</w:t>
      </w:r>
    </w:p>
    <w:p w:rsidR="00D9540A" w:rsidRDefault="00D9540A" w:rsidP="00D9540A">
      <w:pPr>
        <w:pStyle w:val="a3"/>
        <w:numPr>
          <w:ilvl w:val="0"/>
          <w:numId w:val="2"/>
        </w:numPr>
        <w:rPr>
          <w:rFonts w:hint="cs"/>
        </w:rPr>
      </w:pPr>
      <w:r>
        <w:rPr>
          <w:rFonts w:hint="cs"/>
          <w:rtl/>
        </w:rPr>
        <w:t xml:space="preserve">אין שמרות קפדנית כלפי טקסטים... אין מחבר (במלוא מובן המילה) לא למשנה ולא </w:t>
      </w:r>
      <w:proofErr w:type="spellStart"/>
      <w:r>
        <w:rPr>
          <w:rFonts w:hint="cs"/>
          <w:rtl/>
        </w:rPr>
        <w:t>לתוספתא</w:t>
      </w:r>
      <w:proofErr w:type="spellEnd"/>
      <w:r>
        <w:rPr>
          <w:rFonts w:hint="cs"/>
          <w:rtl/>
        </w:rPr>
        <w:t xml:space="preserve">, לא למדרשי </w:t>
      </w:r>
      <w:proofErr w:type="spellStart"/>
      <w:r>
        <w:rPr>
          <w:rFonts w:hint="cs"/>
          <w:rtl/>
        </w:rPr>
        <w:t>תנחומא</w:t>
      </w:r>
      <w:proofErr w:type="spellEnd"/>
      <w:r>
        <w:rPr>
          <w:rFonts w:hint="cs"/>
          <w:rtl/>
        </w:rPr>
        <w:t xml:space="preserve"> ולא </w:t>
      </w:r>
      <w:proofErr w:type="spellStart"/>
      <w:r>
        <w:rPr>
          <w:rFonts w:hint="cs"/>
          <w:rtl/>
        </w:rPr>
        <w:t>לפדר"א</w:t>
      </w:r>
      <w:proofErr w:type="spellEnd"/>
      <w:r>
        <w:rPr>
          <w:rFonts w:hint="cs"/>
          <w:rtl/>
        </w:rPr>
        <w:t>...</w:t>
      </w:r>
    </w:p>
    <w:p w:rsidR="00D9540A" w:rsidRDefault="00D9540A" w:rsidP="00D9540A">
      <w:pPr>
        <w:pStyle w:val="a3"/>
        <w:numPr>
          <w:ilvl w:val="0"/>
          <w:numId w:val="2"/>
        </w:numPr>
        <w:rPr>
          <w:rFonts w:hint="cs"/>
        </w:rPr>
      </w:pPr>
      <w:r>
        <w:rPr>
          <w:rFonts w:hint="cs"/>
          <w:rtl/>
        </w:rPr>
        <w:t>הרגישו... חז"ל את עצמם כיושבים בתוך עמם...</w:t>
      </w:r>
    </w:p>
    <w:p w:rsidR="00D9540A" w:rsidRDefault="00D9540A" w:rsidP="00D9540A">
      <w:pPr>
        <w:pStyle w:val="a3"/>
        <w:numPr>
          <w:ilvl w:val="0"/>
          <w:numId w:val="2"/>
        </w:numPr>
        <w:rPr>
          <w:rtl/>
        </w:rPr>
      </w:pPr>
      <w:r>
        <w:rPr>
          <w:rFonts w:hint="cs"/>
          <w:rtl/>
        </w:rPr>
        <w:t xml:space="preserve">כדי להכיר את אופי המתודה של חז"ל, יש </w:t>
      </w:r>
      <w:proofErr w:type="spellStart"/>
      <w:r>
        <w:rPr>
          <w:rFonts w:hint="cs"/>
          <w:rtl/>
        </w:rPr>
        <w:t>להשוותם</w:t>
      </w:r>
      <w:proofErr w:type="spellEnd"/>
      <w:r>
        <w:rPr>
          <w:rFonts w:hint="cs"/>
          <w:rtl/>
        </w:rPr>
        <w:t xml:space="preserve"> לא רק אל החשיבה האורגנית אלא גם אל </w:t>
      </w:r>
      <w:proofErr w:type="spellStart"/>
      <w:r>
        <w:rPr>
          <w:rFonts w:hint="cs"/>
          <w:rtl/>
        </w:rPr>
        <w:t>הפילוספית</w:t>
      </w:r>
      <w:proofErr w:type="spellEnd"/>
      <w:r>
        <w:rPr>
          <w:rFonts w:hint="cs"/>
          <w:rtl/>
        </w:rPr>
        <w:t xml:space="preserve">. אמנם יצרו מספר רב של מונחים מופשטים וכי סידרו כבעלי הלכה את </w:t>
      </w:r>
      <w:proofErr w:type="spellStart"/>
      <w:r>
        <w:rPr>
          <w:rFonts w:hint="cs"/>
          <w:rtl/>
        </w:rPr>
        <w:t>הענינים</w:t>
      </w:r>
      <w:proofErr w:type="spellEnd"/>
      <w:r>
        <w:rPr>
          <w:rFonts w:hint="cs"/>
          <w:rtl/>
        </w:rPr>
        <w:t xml:space="preserve"> סידור תכני... וגם ערכו ויכוחים הגיוניים. אבל לא זה בלבד </w:t>
      </w:r>
      <w:proofErr w:type="spellStart"/>
      <w:r>
        <w:rPr>
          <w:rFonts w:hint="cs"/>
          <w:rtl/>
        </w:rPr>
        <w:t>שהוכחתיהם</w:t>
      </w:r>
      <w:proofErr w:type="spellEnd"/>
      <w:r>
        <w:rPr>
          <w:rFonts w:hint="cs"/>
          <w:rtl/>
        </w:rPr>
        <w:t xml:space="preserve"> אינן מגיעות מבחינה מתודית אפילו עד "הרציונליזם </w:t>
      </w:r>
      <w:proofErr w:type="spellStart"/>
      <w:r>
        <w:rPr>
          <w:rFonts w:hint="cs"/>
          <w:rtl/>
        </w:rPr>
        <w:t>הפרימטיבי</w:t>
      </w:r>
      <w:proofErr w:type="spellEnd"/>
      <w:r>
        <w:rPr>
          <w:rFonts w:hint="cs"/>
          <w:rtl/>
        </w:rPr>
        <w:t>" של רב סעדיה גאון: יותר חשוב הוא בשבילנו שהחשיבה האורגנית לא חדלה כלל לפעול עליהם במידה ניכרת. חביב מן הסידור התוכני היה בעיניהם דווקא באגדה האנלוגי המיוסד על סימנים חיצוניים גרידא... שלא כמשפט הסתירה אמרו על שתי דעות המתנגדות זו לזו "אלה ואלה דברי א-להים חיים"... נמצאו לא פעם מרחפים בין המשחק האמנותי ובין חקירת העובדות המפוכחת והרצינית שרק היא חשובה בעיני המדע.</w:t>
      </w:r>
    </w:p>
    <w:p w:rsidR="00D9540A" w:rsidRDefault="00D9540A" w:rsidP="00D9540A">
      <w:pPr>
        <w:rPr>
          <w:rtl/>
        </w:rPr>
      </w:pPr>
      <w:r>
        <w:rPr>
          <w:rFonts w:hint="cs"/>
          <w:rtl/>
        </w:rPr>
        <w:t xml:space="preserve">אותו "צירוף של יצירה </w:t>
      </w:r>
      <w:proofErr w:type="spellStart"/>
      <w:r>
        <w:rPr>
          <w:rFonts w:hint="cs"/>
          <w:rtl/>
        </w:rPr>
        <w:t>חפשית</w:t>
      </w:r>
      <w:proofErr w:type="spellEnd"/>
      <w:r>
        <w:rPr>
          <w:rFonts w:hint="cs"/>
          <w:rtl/>
        </w:rPr>
        <w:t xml:space="preserve"> ושל רדיפת האמת" שמצא </w:t>
      </w:r>
      <w:proofErr w:type="spellStart"/>
      <w:r>
        <w:rPr>
          <w:rFonts w:hint="cs"/>
          <w:rtl/>
        </w:rPr>
        <w:t>רי"מ</w:t>
      </w:r>
      <w:proofErr w:type="spellEnd"/>
      <w:r>
        <w:rPr>
          <w:rFonts w:hint="cs"/>
          <w:rtl/>
        </w:rPr>
        <w:t xml:space="preserve"> </w:t>
      </w:r>
      <w:proofErr w:type="spellStart"/>
      <w:r>
        <w:rPr>
          <w:rFonts w:hint="cs"/>
          <w:rtl/>
        </w:rPr>
        <w:t>זקש</w:t>
      </w:r>
      <w:proofErr w:type="spellEnd"/>
      <w:r>
        <w:rPr>
          <w:rFonts w:hint="cs"/>
          <w:rtl/>
        </w:rPr>
        <w:t xml:space="preserve"> באגדה, אין בו כדי להפתיענו. אמנם בכל הכרת האמת שולט "משפט הסתירה": שני תיאורים מדעיים של יציאת מצרים השונים זה מזה לא יוכלו להתקיים ביחד </w:t>
      </w:r>
      <w:r>
        <w:rPr>
          <w:rtl/>
        </w:rPr>
        <w:t>–</w:t>
      </w:r>
      <w:r>
        <w:rPr>
          <w:rFonts w:hint="cs"/>
          <w:rtl/>
        </w:rPr>
        <w:t xml:space="preserve"> בעוד ששני ציורים אמנותיים... אינם סותרים זה את זה... אבל יש להבין גם את הכוחות שכנגד שהביא לידי הגבלה ... [את] דרישת האובייקטיביות הגמורה... משפט הסתירה אמור רק באמת החד פעמית ולא באמת העל זמנית, בפירוש הפילוסופי של תעודות (כדברי קנט), או של מאורעות (אריסטו), ב"אידאליזציה" (כהן) בפירושים מעין אלה רשאי החוקר ואפילו חייב להזניח פרטים מספר, כדי להוציא לאור מה שחשוב בעיניו כפי תפיסתו העקרונית. מבחינה זו דומה הוא לאמן... שנית: אף הכרת האמת החד פעמית בשטח ההיסטורי... הבנת אפים של גיבורי הקדם... אינה אפשרית אלא על יסוד קרבה פנימית של אישיות החוקר אל נושאו"</w:t>
      </w:r>
    </w:p>
    <w:p w:rsidR="00D9540A" w:rsidRDefault="00D9540A">
      <w:pPr>
        <w:rPr>
          <w:b/>
          <w:bCs/>
          <w:rtl/>
        </w:rPr>
      </w:pPr>
      <w:r>
        <w:rPr>
          <w:rFonts w:hint="cs"/>
          <w:b/>
          <w:bCs/>
          <w:rtl/>
        </w:rPr>
        <w:lastRenderedPageBreak/>
        <w:t xml:space="preserve">הרב </w:t>
      </w:r>
      <w:proofErr w:type="spellStart"/>
      <w:r>
        <w:rPr>
          <w:rFonts w:hint="cs"/>
          <w:b/>
          <w:bCs/>
          <w:rtl/>
        </w:rPr>
        <w:t>שג"ר</w:t>
      </w:r>
      <w:proofErr w:type="spellEnd"/>
      <w:r>
        <w:rPr>
          <w:rFonts w:hint="cs"/>
          <w:b/>
          <w:bCs/>
          <w:rtl/>
        </w:rPr>
        <w:t>:</w:t>
      </w:r>
    </w:p>
    <w:p w:rsidR="00D9540A" w:rsidRDefault="00D9540A" w:rsidP="00D9540A">
      <w:pPr>
        <w:rPr>
          <w:b/>
          <w:bCs/>
          <w:rtl/>
        </w:rPr>
      </w:pPr>
    </w:p>
    <w:p w:rsidR="00D9540A" w:rsidRDefault="00D9540A" w:rsidP="00D9540A">
      <w:pPr>
        <w:rPr>
          <w:rtl/>
        </w:rPr>
      </w:pPr>
      <w:r>
        <w:rPr>
          <w:rFonts w:hint="cs"/>
          <w:rtl/>
        </w:rPr>
        <w:t xml:space="preserve">"הלמדנות הייתה תגובה הולמת למודרנה ולהשכלה, ביכולתה להציג בתחום לימוד התורה אתגר אינטלקטואלי תואם לזה שהציבה המודרנה בתחומי דעת אחרים, ומתוך אותה מערכת של הנחות תאולוגיות ומטפיסיות. אולם בעידן הפוסט מודרני, התפיסות האידאליסטיות שעליהם נסמך </w:t>
      </w:r>
      <w:proofErr w:type="spellStart"/>
      <w:r>
        <w:rPr>
          <w:rFonts w:hint="cs"/>
          <w:rtl/>
        </w:rPr>
        <w:t>הגרי"ד</w:t>
      </w:r>
      <w:proofErr w:type="spellEnd"/>
      <w:r>
        <w:rPr>
          <w:rFonts w:hint="cs"/>
          <w:rtl/>
        </w:rPr>
        <w:t xml:space="preserve"> תלמידו של הרמן כהן, התיישנו והפכו לבלתי קבילות; כפועל יוצא משתנה גם מקומה של </w:t>
      </w:r>
      <w:proofErr w:type="spellStart"/>
      <w:r>
        <w:rPr>
          <w:rFonts w:hint="cs"/>
          <w:rtl/>
        </w:rPr>
        <w:t>הלדמנות</w:t>
      </w:r>
      <w:proofErr w:type="spellEnd"/>
      <w:r>
        <w:rPr>
          <w:rFonts w:hint="cs"/>
          <w:rtl/>
        </w:rPr>
        <w:t xml:space="preserve">. מקורותיו של האידאליזם הלמדני שונים אמנם ממקורותיו של האידאליזם הפילוסופי והם יונקים מאמונה וממסורת, ובכל זאת ניתן בהחלט לומר שהאידאליזם הפילוסופי סייע בידי הגריד לגבש, לנסח ולהצדיק את תפיסתו... קשיים לא מבוטלים יעמדו גם לפתחה של שיטת </w:t>
      </w:r>
      <w:proofErr w:type="spellStart"/>
      <w:r>
        <w:rPr>
          <w:rFonts w:hint="cs"/>
          <w:rtl/>
        </w:rPr>
        <w:t>הראי"ה</w:t>
      </w:r>
      <w:proofErr w:type="spellEnd"/>
      <w:r>
        <w:rPr>
          <w:rFonts w:hint="cs"/>
          <w:rtl/>
        </w:rPr>
        <w:t>, הנסמכת גם היא על האידאליזם הפילוסופי...</w:t>
      </w:r>
    </w:p>
    <w:p w:rsidR="00D9540A" w:rsidRDefault="00D9540A" w:rsidP="00D9540A">
      <w:pPr>
        <w:rPr>
          <w:rFonts w:hint="cs"/>
          <w:rtl/>
        </w:rPr>
      </w:pPr>
      <w:r>
        <w:rPr>
          <w:rFonts w:hint="cs"/>
          <w:rtl/>
        </w:rPr>
        <w:t xml:space="preserve">ויטגנשטיין ממשיל את השפה ל"עיר עתיקה: מבוך של סמטאות וכיכרות, בתים ישנים וחדשים ובתים עם תוספות מתקופות שונו; כל זה מוקף בהמון </w:t>
      </w:r>
      <w:proofErr w:type="spellStart"/>
      <w:r>
        <w:rPr>
          <w:rFonts w:hint="cs"/>
          <w:rtl/>
        </w:rPr>
        <w:t>פרבריםחדשים</w:t>
      </w:r>
      <w:proofErr w:type="spellEnd"/>
      <w:r>
        <w:rPr>
          <w:rFonts w:hint="cs"/>
          <w:rtl/>
        </w:rPr>
        <w:t xml:space="preserve"> עם רחובות ישרים וסדורים ועם בתים אחידים"... אלה טענות פוסט-מודרניות כלליות, אך תיאור זה הולם ביותר את שיח הגמרא ואת הרטוריקה ההלכתית. השיח של התלמוד, אם לא נתבונן בו מבעד למשקפיהם האידאליסטיים של הלמדן... או </w:t>
      </w:r>
      <w:proofErr w:type="spellStart"/>
      <w:r>
        <w:rPr>
          <w:rFonts w:hint="cs"/>
          <w:rtl/>
        </w:rPr>
        <w:t>הרציולנליסטיים</w:t>
      </w:r>
      <w:proofErr w:type="spellEnd"/>
      <w:r>
        <w:rPr>
          <w:rFonts w:hint="cs"/>
          <w:rtl/>
        </w:rPr>
        <w:t xml:space="preserve"> של חוקר המשפט העברי... אינו שיח אחיד, אלא כזה המורכב </w:t>
      </w:r>
      <w:proofErr w:type="spellStart"/>
      <w:r>
        <w:rPr>
          <w:rFonts w:hint="cs"/>
          <w:rtl/>
        </w:rPr>
        <w:t>מז'נרים</w:t>
      </w:r>
      <w:proofErr w:type="spellEnd"/>
      <w:r>
        <w:rPr>
          <w:rFonts w:hint="cs"/>
          <w:rtl/>
        </w:rPr>
        <w:t xml:space="preserve"> שונים שחלקם לאו דווקא מושגיים לוגיים. זה שיח המשתמש בטיעונים שונים מעולמות שונים כדי לקדם את טענותיו... התלמוד נענה יפה למושג הפוסט מודרני של </w:t>
      </w:r>
      <w:proofErr w:type="spellStart"/>
      <w:r>
        <w:rPr>
          <w:rFonts w:hint="cs"/>
          <w:rtl/>
        </w:rPr>
        <w:t>הבריקולז</w:t>
      </w:r>
      <w:proofErr w:type="spellEnd"/>
      <w:r>
        <w:rPr>
          <w:rFonts w:hint="cs"/>
          <w:rtl/>
        </w:rPr>
        <w:t>', אותו פזל שחלקיו עולם זה על זה ולא משתלבים לכדי תמונה קוהרנטית מסודרת... היא קוראת לנו לנסות לשוב לגמרא תוך ניסיון להכיל את מורכבותה האדירה... הפוסט מודרניזם עשוי לרכך את חיפוש המשמעות ולעדן את הפן הכפייתי של הקיים בו לא פעם. אני לומד גמרא מפני שזה אני, זה ביתי, זה חלק מזרימת החיים שלי.</w:t>
      </w:r>
    </w:p>
    <w:p w:rsidR="00D9540A" w:rsidRDefault="00D9540A" w:rsidP="00D9540A">
      <w:pPr>
        <w:rPr>
          <w:rtl/>
        </w:rPr>
      </w:pPr>
      <w:r>
        <w:rPr>
          <w:rFonts w:hint="cs"/>
          <w:rtl/>
        </w:rPr>
        <w:t xml:space="preserve">הפוסט מודרנה אינה צריכה להיתרגם ואדישות ולחוסר מעורבות, סכנה הניצבת תמיד לפתחה. העמדה </w:t>
      </w:r>
      <w:proofErr w:type="spellStart"/>
      <w:r>
        <w:rPr>
          <w:rFonts w:hint="cs"/>
          <w:rtl/>
        </w:rPr>
        <w:t>הפ"מ</w:t>
      </w:r>
      <w:proofErr w:type="spellEnd"/>
      <w:r>
        <w:rPr>
          <w:rFonts w:hint="cs"/>
          <w:rtl/>
        </w:rPr>
        <w:t xml:space="preserve"> אינה מעכבת את הלימוד כברית. היא אמנם אינה תובעת מן האדם לראות את הגמרא כביתו היחיד, כשם שעושה הלמדנות </w:t>
      </w:r>
      <w:proofErr w:type="spellStart"/>
      <w:r>
        <w:rPr>
          <w:rFonts w:hint="cs"/>
          <w:rtl/>
        </w:rPr>
        <w:t>הישיבתית</w:t>
      </w:r>
      <w:proofErr w:type="spellEnd"/>
      <w:r>
        <w:rPr>
          <w:rFonts w:hint="cs"/>
          <w:rtl/>
        </w:rPr>
        <w:t>. אולם אולי אין כלל צורך בכך. די בכך שנראה בגמרא את הבית שלנו. הא-</w:t>
      </w:r>
      <w:proofErr w:type="spellStart"/>
      <w:r>
        <w:rPr>
          <w:rFonts w:hint="cs"/>
          <w:rtl/>
        </w:rPr>
        <w:t>לוקיות</w:t>
      </w:r>
      <w:proofErr w:type="spellEnd"/>
      <w:r>
        <w:rPr>
          <w:rFonts w:hint="cs"/>
          <w:rtl/>
        </w:rPr>
        <w:t xml:space="preserve"> של התורה נעוצה בבחירתו הנחרצת של הלומד בתורתו. בלימודו מתגלה הא-לוקי דווקא מתוך המקריות לכאורה שבהתפתחות התורה שבעל פה ובהשתלשלותה".</w:t>
      </w:r>
    </w:p>
    <w:p w:rsidR="00D9540A" w:rsidRPr="00D9540A" w:rsidRDefault="00D9540A">
      <w:pPr>
        <w:rPr>
          <w:b/>
          <w:bCs/>
        </w:rPr>
      </w:pPr>
    </w:p>
    <w:sectPr w:rsidR="00D9540A" w:rsidRPr="00D9540A" w:rsidSect="00D568B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E7560"/>
    <w:multiLevelType w:val="hybridMultilevel"/>
    <w:tmpl w:val="8BFA7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FE068D"/>
    <w:multiLevelType w:val="hybridMultilevel"/>
    <w:tmpl w:val="35206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40A"/>
    <w:rsid w:val="00353BF8"/>
    <w:rsid w:val="005E5666"/>
    <w:rsid w:val="00C86583"/>
    <w:rsid w:val="00D568B4"/>
    <w:rsid w:val="00D9540A"/>
    <w:rsid w:val="00E32EFA"/>
    <w:rsid w:val="00ED324C"/>
    <w:rsid w:val="00F503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80304"/>
  <w15:chartTrackingRefBased/>
  <w15:docId w15:val="{203CF11C-7D69-4E77-B108-A869278B1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D9540A"/>
    <w:pPr>
      <w:bidi/>
      <w:spacing w:line="360" w:lineRule="auto"/>
      <w:jc w:val="both"/>
    </w:pPr>
    <w:rPr>
      <w:rFonts w:cs="Narkisim"/>
      <w:szCs w:val="24"/>
    </w:rPr>
  </w:style>
  <w:style w:type="paragraph" w:styleId="2">
    <w:name w:val="heading 2"/>
    <w:basedOn w:val="a"/>
    <w:next w:val="a"/>
    <w:link w:val="20"/>
    <w:uiPriority w:val="9"/>
    <w:unhideWhenUsed/>
    <w:qFormat/>
    <w:rsid w:val="00ED324C"/>
    <w:pPr>
      <w:keepNext/>
      <w:keepLines/>
      <w:spacing w:before="40" w:after="0"/>
      <w:outlineLvl w:val="1"/>
    </w:pPr>
    <w:rPr>
      <w:rFonts w:asciiTheme="majorHAnsi" w:eastAsiaTheme="majorEastAsia" w:hAnsiTheme="majorHAns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
    <w:rsid w:val="00ED324C"/>
    <w:rPr>
      <w:rFonts w:asciiTheme="majorHAnsi" w:eastAsiaTheme="majorEastAsia" w:hAnsiTheme="majorHAnsi" w:cs="Narkisim"/>
      <w:color w:val="2F5496" w:themeColor="accent1" w:themeShade="BF"/>
      <w:sz w:val="26"/>
      <w:szCs w:val="26"/>
    </w:rPr>
  </w:style>
  <w:style w:type="paragraph" w:styleId="a3">
    <w:name w:val="List Paragraph"/>
    <w:basedOn w:val="a"/>
    <w:uiPriority w:val="34"/>
    <w:qFormat/>
    <w:rsid w:val="00D954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1123</Words>
  <Characters>5616</Characters>
  <Application>Microsoft Office Word</Application>
  <DocSecurity>0</DocSecurity>
  <Lines>46</Lines>
  <Paragraphs>13</Paragraphs>
  <ScaleCrop>false</ScaleCrop>
  <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יאיר ברלין</dc:creator>
  <cp:keywords/>
  <dc:description/>
  <cp:lastModifiedBy>יאיר ברלין</cp:lastModifiedBy>
  <cp:revision>1</cp:revision>
  <dcterms:created xsi:type="dcterms:W3CDTF">2017-05-08T08:30:00Z</dcterms:created>
  <dcterms:modified xsi:type="dcterms:W3CDTF">2017-05-08T08:34:00Z</dcterms:modified>
</cp:coreProperties>
</file>