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13D2" w:rsidRPr="008007DD" w:rsidRDefault="007413D2" w:rsidP="007413D2">
      <w:pPr>
        <w:ind w:firstLine="226"/>
        <w:rPr>
          <w:rFonts w:cs="David"/>
          <w:b/>
          <w:bCs/>
          <w:rtl/>
        </w:rPr>
      </w:pPr>
      <w:r>
        <w:rPr>
          <w:rFonts w:cs="David" w:hint="cs"/>
          <w:b/>
          <w:bCs/>
          <w:rtl/>
        </w:rPr>
        <w:t>הקדמה לקריאות התלמודיות</w:t>
      </w:r>
    </w:p>
    <w:p w:rsidR="007413D2" w:rsidRDefault="007413D2" w:rsidP="007413D2">
      <w:pPr>
        <w:ind w:firstLine="226"/>
        <w:rPr>
          <w:rFonts w:cs="David"/>
          <w:rtl/>
        </w:rPr>
      </w:pPr>
    </w:p>
    <w:p w:rsidR="007413D2" w:rsidRDefault="007413D2" w:rsidP="007413D2">
      <w:pPr>
        <w:ind w:firstLine="226"/>
        <w:rPr>
          <w:rFonts w:cs="David"/>
          <w:rtl/>
        </w:rPr>
      </w:pPr>
      <w:r>
        <w:rPr>
          <w:rFonts w:cs="David" w:hint="cs"/>
          <w:rtl/>
        </w:rPr>
        <w:t xml:space="preserve">1. אנו, היהודים שרוצים להישאר יהודים, יודעים שהמורשת שלנו אנושית לא פחות מזו של העולם המערבי... ייחודיות ישראל מובילה לשיא המצדיק את נצחיות היהדות... אולם זו ייחודיות שההיסטוריה הארוכה שלנו השאירה במצב של רגש ואמונה; היא מבקשת את הבהרתה במחשבה... היא זקוקה קודם כל לתרגום ליוונית... מוטלת עלינו המשימה הגדולה לנסח ביוונית עקרונות שיוון לא הכירה. הייחודיות היהודית מצפה לפילוסופיה שלה ("התבוללות ותרבות חדשה", </w:t>
      </w:r>
      <w:r>
        <w:rPr>
          <w:rFonts w:cs="David" w:hint="cs"/>
          <w:b/>
          <w:bCs/>
          <w:rtl/>
        </w:rPr>
        <w:t>מעבר לפסוק</w:t>
      </w:r>
      <w:r>
        <w:rPr>
          <w:rFonts w:cs="David" w:hint="cs"/>
          <w:rtl/>
        </w:rPr>
        <w:t>, עמ' 253-252)</w:t>
      </w:r>
    </w:p>
    <w:p w:rsidR="007413D2" w:rsidRPr="00514D90" w:rsidRDefault="007413D2" w:rsidP="007413D2">
      <w:pPr>
        <w:ind w:firstLine="226"/>
        <w:rPr>
          <w:rFonts w:cs="David"/>
          <w:rtl/>
        </w:rPr>
      </w:pPr>
    </w:p>
    <w:p w:rsidR="007413D2" w:rsidRDefault="007413D2" w:rsidP="007413D2">
      <w:pPr>
        <w:ind w:firstLine="226"/>
        <w:rPr>
          <w:rFonts w:cs="David"/>
          <w:rtl/>
        </w:rPr>
      </w:pPr>
      <w:r>
        <w:rPr>
          <w:rFonts w:cs="David" w:hint="cs"/>
          <w:rtl/>
        </w:rPr>
        <w:t>2. "</w:t>
      </w:r>
      <w:proofErr w:type="spellStart"/>
      <w:r w:rsidRPr="00514D90">
        <w:rPr>
          <w:rFonts w:cs="David"/>
          <w:rtl/>
        </w:rPr>
        <w:t>דתניא</w:t>
      </w:r>
      <w:proofErr w:type="spellEnd"/>
      <w:r w:rsidRPr="00514D90">
        <w:rPr>
          <w:rFonts w:cs="David"/>
          <w:rtl/>
        </w:rPr>
        <w:t xml:space="preserve">: מעשה בתלמי המלך שכינס שבעים ושנים זקנים, והכניסן בשבעים ושנים בתים, ולא גילה להם על מה </w:t>
      </w:r>
      <w:proofErr w:type="spellStart"/>
      <w:r w:rsidRPr="00514D90">
        <w:rPr>
          <w:rFonts w:cs="David"/>
          <w:rtl/>
        </w:rPr>
        <w:t>כינסן</w:t>
      </w:r>
      <w:proofErr w:type="spellEnd"/>
      <w:r w:rsidRPr="00514D90">
        <w:rPr>
          <w:rFonts w:cs="David"/>
          <w:rtl/>
        </w:rPr>
        <w:t xml:space="preserve">. ונכנס אצל כל אחד ואחד ואמר להם: כתבו לי תורת משה רבכם. נתן הקדוש ברוך הוא בלב כל אחד </w:t>
      </w:r>
      <w:r>
        <w:rPr>
          <w:rFonts w:cs="David"/>
          <w:rtl/>
        </w:rPr>
        <w:t>ואחד עצה, והסכימו כולן לדעת אחת</w:t>
      </w:r>
      <w:r>
        <w:rPr>
          <w:rFonts w:cs="David" w:hint="cs"/>
          <w:rtl/>
        </w:rPr>
        <w:t xml:space="preserve">. </w:t>
      </w:r>
      <w:r w:rsidRPr="00800744">
        <w:rPr>
          <w:rFonts w:cs="David"/>
          <w:rtl/>
        </w:rPr>
        <w:t>וכתבו לו א</w:t>
      </w:r>
      <w:r>
        <w:rPr>
          <w:rFonts w:cs="David" w:hint="cs"/>
          <w:rtl/>
        </w:rPr>
        <w:t>-</w:t>
      </w:r>
      <w:r>
        <w:rPr>
          <w:rFonts w:cs="David"/>
          <w:rtl/>
        </w:rPr>
        <w:t>ל</w:t>
      </w:r>
      <w:r>
        <w:rPr>
          <w:rFonts w:cs="David" w:hint="cs"/>
          <w:rtl/>
        </w:rPr>
        <w:t>ק</w:t>
      </w:r>
      <w:r w:rsidRPr="00800744">
        <w:rPr>
          <w:rFonts w:cs="David"/>
          <w:rtl/>
        </w:rPr>
        <w:t xml:space="preserve">ים ברא בראשית, אעשה אדם בצלם ובדמות, </w:t>
      </w:r>
      <w:proofErr w:type="spellStart"/>
      <w:r w:rsidRPr="00800744">
        <w:rPr>
          <w:rFonts w:cs="David"/>
          <w:rtl/>
        </w:rPr>
        <w:t>ויכל</w:t>
      </w:r>
      <w:proofErr w:type="spellEnd"/>
      <w:r w:rsidRPr="00800744">
        <w:rPr>
          <w:rFonts w:cs="David"/>
          <w:rtl/>
        </w:rPr>
        <w:t xml:space="preserve"> ביום </w:t>
      </w:r>
      <w:proofErr w:type="spellStart"/>
      <w:r w:rsidRPr="00800744">
        <w:rPr>
          <w:rFonts w:cs="David"/>
          <w:rtl/>
        </w:rPr>
        <w:t>הששי</w:t>
      </w:r>
      <w:proofErr w:type="spellEnd"/>
      <w:r w:rsidRPr="00800744">
        <w:rPr>
          <w:rFonts w:cs="David"/>
          <w:rtl/>
        </w:rPr>
        <w:t>, וישבות ביום השביעי, זכר ונקבה בראו, ולא כתבו בראם</w:t>
      </w:r>
      <w:r>
        <w:rPr>
          <w:rFonts w:cs="David" w:hint="cs"/>
          <w:rtl/>
        </w:rPr>
        <w:t>..." (בבלי מגילה ט, א)</w:t>
      </w:r>
    </w:p>
    <w:p w:rsidR="007413D2" w:rsidRDefault="007413D2" w:rsidP="007413D2">
      <w:pPr>
        <w:ind w:firstLine="226"/>
        <w:rPr>
          <w:rFonts w:cs="David"/>
          <w:rtl/>
        </w:rPr>
      </w:pPr>
      <w:r>
        <w:rPr>
          <w:rFonts w:cs="David" w:hint="cs"/>
          <w:rtl/>
        </w:rPr>
        <w:t>סיפור זה מבטא את ההסכמה הא-</w:t>
      </w:r>
      <w:proofErr w:type="spellStart"/>
      <w:r>
        <w:rPr>
          <w:rFonts w:cs="David" w:hint="cs"/>
          <w:rtl/>
        </w:rPr>
        <w:t>לוקית</w:t>
      </w:r>
      <w:proofErr w:type="spellEnd"/>
      <w:r>
        <w:rPr>
          <w:rFonts w:cs="David" w:hint="cs"/>
          <w:rtl/>
        </w:rPr>
        <w:t xml:space="preserve"> למפעל תרגום התורה ליוונית... כניסה זו של היוונית בתוך הכתובים, ברית זו בין התורה העברית ליוונית, התבוללות זו היא אשר זוכה ל'אישור' בדף ט במסכת מגילה, המתאר את נס התרגום הזהה (</w:t>
      </w:r>
      <w:r>
        <w:rPr>
          <w:rFonts w:cs="David" w:hint="cs"/>
          <w:b/>
          <w:bCs/>
          <w:rtl/>
        </w:rPr>
        <w:t>בשעת האומות</w:t>
      </w:r>
      <w:r>
        <w:rPr>
          <w:rFonts w:cs="David" w:hint="cs"/>
          <w:rtl/>
        </w:rPr>
        <w:t>, עמ' 58-60)</w:t>
      </w:r>
      <w:r>
        <w:rPr>
          <w:rFonts w:cs="David"/>
          <w:rtl/>
        </w:rPr>
        <w:t xml:space="preserve"> </w:t>
      </w:r>
    </w:p>
    <w:p w:rsidR="007413D2" w:rsidRDefault="007413D2" w:rsidP="007413D2">
      <w:pPr>
        <w:ind w:firstLine="226"/>
        <w:rPr>
          <w:rFonts w:cs="David"/>
          <w:rtl/>
        </w:rPr>
      </w:pPr>
      <w:r>
        <w:rPr>
          <w:rFonts w:cs="David" w:hint="cs"/>
          <w:rtl/>
        </w:rPr>
        <w:t>הטקסט התלמודי שהזכרתי זה עתה אומר שהתורה משמרת את מלוא משמעותה הדתית כאשר היא מתורגמת ליוונית. אולם בה בעת הוא חושף את קיומו של הבלתי-ניתן-לתרגום, של פער במשמעות (מובא אצל אלי שיינפלד, "פילוסופיה יהודית כהרמנויטיקה קיומית", עמ' 394)</w:t>
      </w:r>
    </w:p>
    <w:p w:rsidR="007413D2" w:rsidRDefault="007413D2" w:rsidP="007413D2">
      <w:pPr>
        <w:ind w:firstLine="226"/>
        <w:rPr>
          <w:rFonts w:cs="David"/>
        </w:rPr>
      </w:pPr>
    </w:p>
    <w:p w:rsidR="007413D2" w:rsidRDefault="007413D2" w:rsidP="007413D2">
      <w:pPr>
        <w:ind w:firstLine="226"/>
        <w:rPr>
          <w:rFonts w:cs="David"/>
          <w:rtl/>
        </w:rPr>
      </w:pPr>
      <w:r>
        <w:rPr>
          <w:rFonts w:cs="David" w:hint="cs"/>
          <w:rtl/>
        </w:rPr>
        <w:t>3</w:t>
      </w:r>
      <w:r>
        <w:rPr>
          <w:rFonts w:cs="David" w:hint="cs"/>
          <w:rtl/>
        </w:rPr>
        <w:t xml:space="preserve">. התרגום העומד מחוץ ליצירה של לשון הקודש השרויה בעצמה נותן את הרפלקסיה החסרה למי שדובר את לשון הקודש ועולמו-מציאותו תחומים על ידה... התרגום "מאיר את האותיות שבלשון הקודש"... הדובר בשפת תרגום יכול לראות את העושר הרוחני העצום הטמון בלשון הקודש דווקא בשל עמידתו המרוחקת. אבל לדידו של ר' נחמן לא בכך מסתכמת פועלה של לשון תרגום </w:t>
      </w:r>
      <w:r>
        <w:rPr>
          <w:rFonts w:cs="David"/>
          <w:rtl/>
        </w:rPr>
        <w:t>–</w:t>
      </w:r>
      <w:r>
        <w:rPr>
          <w:rFonts w:cs="David" w:hint="cs"/>
          <w:rtl/>
        </w:rPr>
        <w:t xml:space="preserve"> זו יוצרת טרנספורמציה בלשון הקודש עצמה, משנה את המובן הראשוני שלה... הלשון הזרה חודרת אל תוך הביתיות של לשון הקודש ויוצרת צירוף חדש (הרב </w:t>
      </w:r>
      <w:proofErr w:type="spellStart"/>
      <w:r>
        <w:rPr>
          <w:rFonts w:cs="David" w:hint="cs"/>
          <w:rtl/>
        </w:rPr>
        <w:t>שג"ר</w:t>
      </w:r>
      <w:proofErr w:type="spellEnd"/>
      <w:r>
        <w:rPr>
          <w:rFonts w:cs="David" w:hint="cs"/>
          <w:rtl/>
        </w:rPr>
        <w:t xml:space="preserve">, </w:t>
      </w:r>
      <w:r>
        <w:rPr>
          <w:rFonts w:cs="David" w:hint="cs"/>
          <w:b/>
          <w:bCs/>
          <w:rtl/>
        </w:rPr>
        <w:t>שארית האמונה</w:t>
      </w:r>
      <w:r>
        <w:rPr>
          <w:rFonts w:cs="David" w:hint="cs"/>
          <w:rtl/>
        </w:rPr>
        <w:t>, עמ' 96-97)</w:t>
      </w:r>
    </w:p>
    <w:p w:rsidR="007413D2" w:rsidRDefault="007413D2" w:rsidP="007413D2">
      <w:pPr>
        <w:ind w:firstLine="226"/>
        <w:rPr>
          <w:rFonts w:cs="David"/>
          <w:rtl/>
        </w:rPr>
      </w:pPr>
    </w:p>
    <w:p w:rsidR="007413D2" w:rsidRDefault="007413D2" w:rsidP="007413D2">
      <w:pPr>
        <w:ind w:firstLine="226"/>
        <w:rPr>
          <w:rFonts w:cs="David"/>
          <w:rtl/>
        </w:rPr>
      </w:pPr>
      <w:r>
        <w:rPr>
          <w:rFonts w:cs="David" w:hint="cs"/>
          <w:rtl/>
        </w:rPr>
        <w:t>4</w:t>
      </w:r>
      <w:r>
        <w:rPr>
          <w:rFonts w:cs="David" w:hint="cs"/>
          <w:rtl/>
        </w:rPr>
        <w:t xml:space="preserve">. חכמי הגמרא, הנראים נאבקים זה עם זה בדקדוקי עניות, רחוקים מאוד מן הפלפול הסכולסטי. הפנייה לפסוק אינה נעשית כדי להיעזר בסמכותו </w:t>
      </w:r>
      <w:r>
        <w:rPr>
          <w:rFonts w:cs="David"/>
          <w:rtl/>
        </w:rPr>
        <w:t>–</w:t>
      </w:r>
      <w:r>
        <w:rPr>
          <w:rFonts w:cs="David" w:hint="cs"/>
          <w:rtl/>
        </w:rPr>
        <w:t xml:space="preserve"> כפי שחושבים אנשים מסוימים הנוטים להסיק מסקנות פזיזות </w:t>
      </w:r>
      <w:r>
        <w:rPr>
          <w:rFonts w:cs="David"/>
          <w:rtl/>
        </w:rPr>
        <w:t>–</w:t>
      </w:r>
      <w:r>
        <w:rPr>
          <w:rFonts w:cs="David" w:hint="cs"/>
          <w:rtl/>
        </w:rPr>
        <w:t xml:space="preserve"> אלא יש בה התייחסות להקשר, המאפשר להעלות את רמת הדיון ולגלות את משקלם </w:t>
      </w:r>
      <w:proofErr w:type="spellStart"/>
      <w:r>
        <w:rPr>
          <w:rFonts w:cs="David" w:hint="cs"/>
          <w:rtl/>
        </w:rPr>
        <w:t>האמיתי</w:t>
      </w:r>
      <w:proofErr w:type="spellEnd"/>
      <w:r>
        <w:rPr>
          <w:rFonts w:cs="David" w:hint="cs"/>
          <w:rtl/>
        </w:rPr>
        <w:t xml:space="preserve"> של הנתונים המעניקים לו את מלא משמעותו. העברת רעיון אחד לאקלים אחר </w:t>
      </w:r>
      <w:r>
        <w:rPr>
          <w:rFonts w:cs="David"/>
          <w:rtl/>
        </w:rPr>
        <w:t>–</w:t>
      </w:r>
      <w:r>
        <w:rPr>
          <w:rFonts w:cs="David" w:hint="cs"/>
          <w:rtl/>
        </w:rPr>
        <w:t xml:space="preserve"> משחררת מתוכו אפשרויות חדשות. המושגים לא נקבעים בתהליך המשגה שעשוי לכבות ניצוצות רבים המפזזים מול המבט המכוון אל המציאות... המושגים אינם נפרדים לעולם מן הדוגמאות שמעלות אותם (אבל גם מקבעות אותם) (</w:t>
      </w:r>
      <w:r>
        <w:rPr>
          <w:rFonts w:cs="David" w:hint="cs"/>
          <w:b/>
          <w:bCs/>
          <w:rtl/>
        </w:rPr>
        <w:t xml:space="preserve">תשע קריאות תלמודיות, </w:t>
      </w:r>
      <w:r>
        <w:rPr>
          <w:rFonts w:cs="David" w:hint="cs"/>
          <w:rtl/>
        </w:rPr>
        <w:t>עמ' 18-19)</w:t>
      </w:r>
    </w:p>
    <w:p w:rsidR="007413D2" w:rsidRDefault="007413D2" w:rsidP="007413D2">
      <w:pPr>
        <w:ind w:firstLine="226"/>
        <w:rPr>
          <w:rFonts w:cs="David"/>
          <w:rtl/>
        </w:rPr>
      </w:pPr>
    </w:p>
    <w:p w:rsidR="007413D2" w:rsidRDefault="007413D2" w:rsidP="007413D2">
      <w:pPr>
        <w:ind w:firstLine="226"/>
        <w:rPr>
          <w:rFonts w:cs="David"/>
          <w:rtl/>
        </w:rPr>
      </w:pPr>
      <w:r>
        <w:rPr>
          <w:rFonts w:cs="David" w:hint="cs"/>
          <w:rtl/>
        </w:rPr>
        <w:t xml:space="preserve">5. </w:t>
      </w:r>
      <w:r>
        <w:rPr>
          <w:rFonts w:cs="David" w:hint="cs"/>
          <w:rtl/>
        </w:rPr>
        <w:t xml:space="preserve">הערה קצרה על שיטת העבודה אשר הנחתה את פרשנותנו ואשר תעמוד בבסיס הפרשנות של הסוגיות הבאות: בשום צורה שהיא אין בכוונתנו לדחות את המשמעות הדתית המנחה את קריאת המאמין התם או המיסטיקן, ואף לא את הקריאה התיאולוגית. עם זאת אנו סבורים שאפשר לבטא משמעות זו בשפה פילוסופית </w:t>
      </w:r>
      <w:r>
        <w:rPr>
          <w:rFonts w:cs="David"/>
          <w:rtl/>
        </w:rPr>
        <w:t>–</w:t>
      </w:r>
      <w:r>
        <w:rPr>
          <w:rFonts w:cs="David" w:hint="cs"/>
          <w:rtl/>
        </w:rPr>
        <w:t xml:space="preserve"> ולא עוד, אלא שהיא עצמה מתייחסת לסוגיות פילוסופיות. </w:t>
      </w:r>
      <w:r w:rsidRPr="006A382E">
        <w:rPr>
          <w:rFonts w:cs="David" w:hint="cs"/>
          <w:b/>
          <w:bCs/>
          <w:rtl/>
        </w:rPr>
        <w:t>מחשבת חז"ל יונקת ממחשבה שורשית דיה לספק גם את דרישות הפילוסופיה</w:t>
      </w:r>
      <w:r>
        <w:rPr>
          <w:rFonts w:cs="David" w:hint="cs"/>
          <w:rtl/>
        </w:rPr>
        <w:t xml:space="preserve">, והמשמעות הרציונלית הזו היא מושא חקירתנו. הניסוחים המתומצתים שבתלמוד, הדימויים, הרמיזות ואותן קיצות עין </w:t>
      </w:r>
      <w:r>
        <w:rPr>
          <w:rFonts w:cs="David"/>
          <w:rtl/>
        </w:rPr>
        <w:t>–</w:t>
      </w:r>
      <w:r>
        <w:rPr>
          <w:rFonts w:cs="David" w:hint="cs"/>
          <w:rtl/>
        </w:rPr>
        <w:t xml:space="preserve"> כולם אפיקי ביטוי של התלמוד, והם לא יוכלו למצות את משמעותם אם הגישה אליהם לא תהיה מושתתת על בעיות ועל קיום ממשיים...</w:t>
      </w:r>
    </w:p>
    <w:p w:rsidR="007413D2" w:rsidRDefault="007413D2" w:rsidP="007413D2">
      <w:pPr>
        <w:ind w:firstLine="226"/>
        <w:rPr>
          <w:rFonts w:cs="David"/>
          <w:rtl/>
        </w:rPr>
      </w:pPr>
    </w:p>
    <w:p w:rsidR="007413D2" w:rsidRDefault="007413D2" w:rsidP="007413D2">
      <w:pPr>
        <w:ind w:firstLine="226"/>
        <w:rPr>
          <w:rFonts w:cs="David"/>
          <w:rtl/>
        </w:rPr>
      </w:pPr>
      <w:r>
        <w:rPr>
          <w:rFonts w:cs="David" w:hint="cs"/>
          <w:rtl/>
        </w:rPr>
        <w:lastRenderedPageBreak/>
        <w:t xml:space="preserve">האנכרוניזמים לכאורה שבקריאה זו... יזעזעו רק את קנאי הגישה ההיסטורית, הסוברים שהטרמת משמעות ההתנסות בידי זיק מחשבה גאונית היא בגדר בל יעבור. לדידם ישנן מילים שאי אפשר לבטאן קודם זמנן... אף מחשבות שאי אפשר </w:t>
      </w:r>
      <w:proofErr w:type="spellStart"/>
      <w:r>
        <w:rPr>
          <w:rFonts w:cs="David" w:hint="cs"/>
          <w:rtl/>
        </w:rPr>
        <w:t>לחושבן</w:t>
      </w:r>
      <w:proofErr w:type="spellEnd"/>
      <w:r>
        <w:rPr>
          <w:rFonts w:cs="David" w:hint="cs"/>
          <w:rtl/>
        </w:rPr>
        <w:t xml:space="preserve"> קודם שיבשיל זמנן. אנחנו מצדנו מניחים שהחשיבה הגאונית היא חשיבה שבה חשבו על </w:t>
      </w:r>
      <w:proofErr w:type="spellStart"/>
      <w:r>
        <w:rPr>
          <w:rFonts w:cs="David" w:hint="cs"/>
          <w:rtl/>
        </w:rPr>
        <w:t>הכל</w:t>
      </w:r>
      <w:proofErr w:type="spellEnd"/>
      <w:r>
        <w:rPr>
          <w:rFonts w:cs="David" w:hint="cs"/>
          <w:rtl/>
        </w:rPr>
        <w:t>, אפילו על החברה התעשייתית או הטכנוקרטיה המודרנית... לולא כן הייתה היהדות, אשר ניסוחים ודימויים אלו הם רכיב מרכזי בה, מצטמצמת לפולקלור של ההיסטוריה היהודית... אין מדובר כאן בערעור על ערכה של הגישה ההיסטורית ועל האופקים המעניינים שהיא פותחת; אלא שדבקות בגישה זו משמעה הפיכת אמיתות אשר החיו את היהדות לשורה של תקריות ושל סיפורים מקומיים. גם אם המניעים לדברי חז"ל היו נסיבות, משברים ומחלוקות שנשכחו זה מכבר ואבדו מחשיבותם, הרי הם קובעים דפוסי חשיבה וקטגוריות השייכות לממד המוחלט שבמחשבה.</w:t>
      </w:r>
    </w:p>
    <w:p w:rsidR="007413D2" w:rsidRDefault="007413D2" w:rsidP="007413D2">
      <w:pPr>
        <w:ind w:firstLine="226"/>
        <w:rPr>
          <w:rFonts w:cs="David"/>
          <w:rtl/>
        </w:rPr>
      </w:pPr>
      <w:bookmarkStart w:id="0" w:name="_GoBack"/>
      <w:r w:rsidRPr="007413D2">
        <w:rPr>
          <w:rFonts w:cs="David" w:hint="cs"/>
          <w:rtl/>
        </w:rPr>
        <w:t>אפשר לומר שהאמון הזה בבינת חז"ל הוא אמונה</w:t>
      </w:r>
      <w:bookmarkEnd w:id="0"/>
      <w:r>
        <w:rPr>
          <w:rFonts w:cs="David" w:hint="cs"/>
          <w:rtl/>
        </w:rPr>
        <w:t xml:space="preserve"> </w:t>
      </w:r>
      <w:r>
        <w:rPr>
          <w:rFonts w:cs="David" w:hint="cs"/>
          <w:rtl/>
        </w:rPr>
        <w:t>(</w:t>
      </w:r>
      <w:r>
        <w:rPr>
          <w:rFonts w:cs="David" w:hint="cs"/>
          <w:b/>
          <w:bCs/>
          <w:rtl/>
        </w:rPr>
        <w:t xml:space="preserve">תשע קריאות תלמודיות, </w:t>
      </w:r>
      <w:r>
        <w:rPr>
          <w:rFonts w:cs="David" w:hint="cs"/>
          <w:rtl/>
        </w:rPr>
        <w:t>עמ'</w:t>
      </w:r>
      <w:r>
        <w:rPr>
          <w:rFonts w:cs="David" w:hint="cs"/>
          <w:rtl/>
        </w:rPr>
        <w:t>127-128)</w:t>
      </w:r>
    </w:p>
    <w:p w:rsidR="007413D2" w:rsidRPr="00F34028" w:rsidRDefault="007413D2" w:rsidP="007413D2">
      <w:pPr>
        <w:ind w:firstLine="226"/>
        <w:rPr>
          <w:rFonts w:cs="David"/>
        </w:rPr>
      </w:pPr>
    </w:p>
    <w:p w:rsidR="00D57FFC" w:rsidRDefault="00D57FFC">
      <w:pPr>
        <w:rPr>
          <w:rtl/>
        </w:rPr>
      </w:pPr>
    </w:p>
    <w:p w:rsidR="007413D2" w:rsidRDefault="007413D2">
      <w:pPr>
        <w:rPr>
          <w:rtl/>
        </w:rPr>
      </w:pPr>
    </w:p>
    <w:p w:rsidR="007413D2" w:rsidRPr="007413D2" w:rsidRDefault="007413D2"/>
    <w:sectPr w:rsidR="007413D2" w:rsidRPr="007413D2" w:rsidSect="000050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3D2"/>
    <w:rsid w:val="00005086"/>
    <w:rsid w:val="007413D2"/>
    <w:rsid w:val="00A428B4"/>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F954"/>
  <w15:chartTrackingRefBased/>
  <w15:docId w15:val="{FF367E1A-817B-463A-9D60-9597F6645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413D2"/>
    <w:pPr>
      <w:bidi/>
      <w:spacing w:after="0" w:line="36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13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633</Words>
  <Characters>3166</Characters>
  <Application>Microsoft Office Word</Application>
  <DocSecurity>0</DocSecurity>
  <Lines>26</Lines>
  <Paragraphs>7</Paragraphs>
  <ScaleCrop>false</ScaleCrop>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1</cp:revision>
  <dcterms:created xsi:type="dcterms:W3CDTF">2018-08-30T07:25:00Z</dcterms:created>
  <dcterms:modified xsi:type="dcterms:W3CDTF">2018-08-30T07:28:00Z</dcterms:modified>
</cp:coreProperties>
</file>