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0E5B" w:rsidRPr="00923393" w:rsidRDefault="00430E5B" w:rsidP="00430E5B">
      <w:pPr>
        <w:ind w:firstLine="226"/>
        <w:rPr>
          <w:rFonts w:cs="David"/>
          <w:rtl/>
        </w:rPr>
      </w:pPr>
      <w:r w:rsidRPr="00923393">
        <w:rPr>
          <w:rFonts w:cs="David" w:hint="cs"/>
          <w:sz w:val="20"/>
          <w:szCs w:val="20"/>
          <w:rtl/>
        </w:rPr>
        <w:t>בס"ד</w:t>
      </w:r>
    </w:p>
    <w:p w:rsidR="00430E5B" w:rsidRDefault="00430E5B" w:rsidP="00430E5B">
      <w:pPr>
        <w:ind w:firstLine="226"/>
        <w:jc w:val="center"/>
        <w:rPr>
          <w:rFonts w:cs="David"/>
          <w:b/>
          <w:bCs/>
          <w:rtl/>
        </w:rPr>
      </w:pPr>
    </w:p>
    <w:p w:rsidR="00430E5B" w:rsidRDefault="00430E5B" w:rsidP="00430E5B">
      <w:pPr>
        <w:ind w:firstLine="226"/>
        <w:jc w:val="center"/>
        <w:rPr>
          <w:rFonts w:cs="David"/>
          <w:b/>
          <w:bCs/>
          <w:rtl/>
        </w:rPr>
      </w:pPr>
      <w:r>
        <w:rPr>
          <w:rFonts w:cs="David" w:hint="cs"/>
          <w:b/>
          <w:bCs/>
          <w:rtl/>
        </w:rPr>
        <w:t>פיתוי הפיתוי (3)</w:t>
      </w:r>
    </w:p>
    <w:p w:rsidR="00430E5B" w:rsidRDefault="00430E5B" w:rsidP="00430E5B">
      <w:pPr>
        <w:ind w:firstLine="226"/>
        <w:rPr>
          <w:rFonts w:cs="David"/>
          <w:b/>
          <w:bCs/>
          <w:rtl/>
        </w:rPr>
      </w:pPr>
    </w:p>
    <w:p w:rsidR="00430E5B" w:rsidRPr="00923393" w:rsidRDefault="00430E5B" w:rsidP="00430E5B">
      <w:pPr>
        <w:ind w:firstLine="226"/>
        <w:rPr>
          <w:rFonts w:cs="David"/>
          <w:b/>
          <w:bCs/>
          <w:rtl/>
        </w:rPr>
      </w:pPr>
      <w:r w:rsidRPr="00923393">
        <w:rPr>
          <w:rFonts w:cs="David" w:hint="cs"/>
          <w:b/>
          <w:bCs/>
          <w:rtl/>
        </w:rPr>
        <w:t>מהר"ל תפא</w:t>
      </w:r>
      <w:r>
        <w:rPr>
          <w:rFonts w:cs="David" w:hint="cs"/>
          <w:b/>
          <w:bCs/>
          <w:rtl/>
        </w:rPr>
        <w:t xml:space="preserve">רת </w:t>
      </w:r>
      <w:r w:rsidRPr="00923393">
        <w:rPr>
          <w:rFonts w:cs="David" w:hint="cs"/>
          <w:b/>
          <w:bCs/>
          <w:rtl/>
        </w:rPr>
        <w:t>י</w:t>
      </w:r>
      <w:r>
        <w:rPr>
          <w:rFonts w:cs="David" w:hint="cs"/>
          <w:b/>
          <w:bCs/>
          <w:rtl/>
        </w:rPr>
        <w:t>שראל</w:t>
      </w:r>
      <w:r w:rsidRPr="00923393">
        <w:rPr>
          <w:rFonts w:cs="David" w:hint="cs"/>
          <w:b/>
          <w:bCs/>
          <w:rtl/>
        </w:rPr>
        <w:t xml:space="preserve"> </w:t>
      </w:r>
      <w:proofErr w:type="spellStart"/>
      <w:r w:rsidRPr="00923393">
        <w:rPr>
          <w:rFonts w:cs="David" w:hint="cs"/>
          <w:b/>
          <w:bCs/>
          <w:rtl/>
        </w:rPr>
        <w:t>פל"ב</w:t>
      </w:r>
      <w:proofErr w:type="spellEnd"/>
    </w:p>
    <w:p w:rsidR="00430E5B" w:rsidRDefault="00430E5B" w:rsidP="00430E5B">
      <w:pPr>
        <w:ind w:firstLine="226"/>
        <w:rPr>
          <w:rFonts w:cs="David"/>
          <w:rtl/>
        </w:rPr>
      </w:pPr>
      <w:r w:rsidRPr="00A65C06">
        <w:rPr>
          <w:rFonts w:cs="David"/>
          <w:rtl/>
        </w:rPr>
        <w:t xml:space="preserve">אבל מה שכפה עליהם ההר, שלא יאמרו ישראל אנחנו קבלנו התורה מעצמנו. ואם לא היינו רוצים, לא היינו מקבלים התורה. ודבר זה לא היה מעלת התורה. כי התורה כל העולם תלוי בה. ואם לא </w:t>
      </w:r>
      <w:proofErr w:type="spellStart"/>
      <w:r w:rsidRPr="00A65C06">
        <w:rPr>
          <w:rFonts w:cs="David"/>
          <w:rtl/>
        </w:rPr>
        <w:t>היתה</w:t>
      </w:r>
      <w:proofErr w:type="spellEnd"/>
      <w:r w:rsidRPr="00A65C06">
        <w:rPr>
          <w:rFonts w:cs="David"/>
          <w:rtl/>
        </w:rPr>
        <w:t xml:space="preserve"> התורה, היה העולם חוזר </w:t>
      </w:r>
      <w:proofErr w:type="spellStart"/>
      <w:r w:rsidRPr="00A65C06">
        <w:rPr>
          <w:rFonts w:cs="David"/>
          <w:rtl/>
        </w:rPr>
        <w:t>לתהו</w:t>
      </w:r>
      <w:proofErr w:type="spellEnd"/>
      <w:r w:rsidRPr="00A65C06">
        <w:rPr>
          <w:rFonts w:cs="David"/>
          <w:rtl/>
        </w:rPr>
        <w:t xml:space="preserve"> ובהו (שבת פח א). ולפיכך אין ראוי שתהיה קבלת התורה בבחירת ישראל, רק שהיה הקדוש ברוך הוא מחייב ומכריח אותם לקבל התורה, שאי אפשר זולת זה, שלא יחזיר העולם </w:t>
      </w:r>
      <w:proofErr w:type="spellStart"/>
      <w:r w:rsidRPr="00A65C06">
        <w:rPr>
          <w:rFonts w:cs="David"/>
          <w:rtl/>
        </w:rPr>
        <w:t>לתהו</w:t>
      </w:r>
      <w:proofErr w:type="spellEnd"/>
      <w:r w:rsidRPr="00A65C06">
        <w:rPr>
          <w:rFonts w:cs="David"/>
          <w:rtl/>
        </w:rPr>
        <w:t xml:space="preserve"> ובהו.</w:t>
      </w:r>
      <w:r>
        <w:rPr>
          <w:rFonts w:cs="David" w:hint="cs"/>
          <w:rtl/>
        </w:rPr>
        <w:t>..</w:t>
      </w:r>
      <w:r w:rsidRPr="00A65C06">
        <w:rPr>
          <w:rFonts w:cs="David"/>
          <w:rtl/>
        </w:rPr>
        <w:t xml:space="preserve"> וכל דבר שהוא מוכרח ומחויב, אין כאן הסרה וביטול, אחר שהוא מוכרח. וכך מוכרח במדרש בפסוק (דברים </w:t>
      </w:r>
      <w:proofErr w:type="spellStart"/>
      <w:r w:rsidRPr="00A65C06">
        <w:rPr>
          <w:rFonts w:cs="David"/>
          <w:rtl/>
        </w:rPr>
        <w:t>כב</w:t>
      </w:r>
      <w:proofErr w:type="spellEnd"/>
      <w:r w:rsidRPr="00A65C06">
        <w:rPr>
          <w:rFonts w:cs="David"/>
          <w:rtl/>
        </w:rPr>
        <w:t xml:space="preserve">, </w:t>
      </w:r>
      <w:proofErr w:type="spellStart"/>
      <w:r w:rsidRPr="00A65C06">
        <w:rPr>
          <w:rFonts w:cs="David"/>
          <w:rtl/>
        </w:rPr>
        <w:t>כט</w:t>
      </w:r>
      <w:proofErr w:type="spellEnd"/>
      <w:r w:rsidRPr="00A65C06">
        <w:rPr>
          <w:rFonts w:cs="David"/>
          <w:rtl/>
        </w:rPr>
        <w:t xml:space="preserve">) "ולו תהיה לאשה לא יוכל שלחה כל ימיו". כשבא הקדוש ברוך הוא לתת תורה על הר סיני, כפה עליהם ההר כגיגית שיקבלו תורתו. וכיון שכך, הרי ישראל </w:t>
      </w:r>
      <w:proofErr w:type="spellStart"/>
      <w:r w:rsidRPr="00A65C06">
        <w:rPr>
          <w:rFonts w:cs="David"/>
          <w:rtl/>
        </w:rPr>
        <w:t>אנוסתו</w:t>
      </w:r>
      <w:proofErr w:type="spellEnd"/>
      <w:r w:rsidRPr="00A65C06">
        <w:rPr>
          <w:rFonts w:cs="David"/>
          <w:rtl/>
        </w:rPr>
        <w:t xml:space="preserve"> של הקדוש ברוך הוא, ואצל </w:t>
      </w:r>
      <w:proofErr w:type="spellStart"/>
      <w:r w:rsidRPr="00A65C06">
        <w:rPr>
          <w:rFonts w:cs="David"/>
          <w:rtl/>
        </w:rPr>
        <w:t>אנוסתו</w:t>
      </w:r>
      <w:proofErr w:type="spellEnd"/>
      <w:r w:rsidRPr="00A65C06">
        <w:rPr>
          <w:rFonts w:cs="David"/>
          <w:rtl/>
        </w:rPr>
        <w:t xml:space="preserve"> כתיב "ולו תהיה לאשה לא יוכל שלחה כל ימיו". ולא כן אצל מפתה. מפני שמשפט האונס כפי מה שהיה המעשה </w:t>
      </w:r>
      <w:proofErr w:type="spellStart"/>
      <w:r w:rsidRPr="00A65C06">
        <w:rPr>
          <w:rFonts w:cs="David"/>
          <w:rtl/>
        </w:rPr>
        <w:t>המאנס</w:t>
      </w:r>
      <w:proofErr w:type="spellEnd"/>
      <w:r w:rsidRPr="00A65C06">
        <w:rPr>
          <w:rFonts w:cs="David"/>
          <w:rtl/>
        </w:rPr>
        <w:t xml:space="preserve">. כי </w:t>
      </w:r>
      <w:proofErr w:type="spellStart"/>
      <w:r w:rsidRPr="00A65C06">
        <w:rPr>
          <w:rFonts w:cs="David"/>
          <w:rtl/>
        </w:rPr>
        <w:t>המאנס</w:t>
      </w:r>
      <w:proofErr w:type="spellEnd"/>
      <w:r w:rsidRPr="00A65C06">
        <w:rPr>
          <w:rFonts w:cs="David"/>
          <w:rtl/>
        </w:rPr>
        <w:t xml:space="preserve"> היה מכריח הבתולה על האישות. וכל דבר שהוא מוכרח, הוא מחויב, ולכך "לא יוכל שלחה". כפי אשר הוא עושה בעצמו האישות ההכרחי, לכך לא יסור כלל. ולכך כפה השם יתברך עליהם הר כגיגית, להיות החבור הזה הכרחי. וכל זיווג וחבור הכרחי, אין </w:t>
      </w:r>
      <w:proofErr w:type="spellStart"/>
      <w:r w:rsidRPr="00A65C06">
        <w:rPr>
          <w:rFonts w:cs="David"/>
          <w:rtl/>
        </w:rPr>
        <w:t>סלוק</w:t>
      </w:r>
      <w:proofErr w:type="spellEnd"/>
      <w:r w:rsidRPr="00A65C06">
        <w:rPr>
          <w:rFonts w:cs="David"/>
          <w:rtl/>
        </w:rPr>
        <w:t xml:space="preserve"> והסרה, כמו שהוא אצל </w:t>
      </w:r>
      <w:proofErr w:type="spellStart"/>
      <w:r w:rsidRPr="00A65C06">
        <w:rPr>
          <w:rFonts w:cs="David"/>
          <w:rtl/>
        </w:rPr>
        <w:t>המאנס</w:t>
      </w:r>
      <w:proofErr w:type="spellEnd"/>
      <w:r w:rsidRPr="00A65C06">
        <w:rPr>
          <w:rFonts w:cs="David"/>
          <w:rtl/>
        </w:rPr>
        <w:t xml:space="preserve"> </w:t>
      </w:r>
      <w:proofErr w:type="spellStart"/>
      <w:r w:rsidRPr="00A65C06">
        <w:rPr>
          <w:rFonts w:cs="David"/>
          <w:rtl/>
        </w:rPr>
        <w:t>אשה</w:t>
      </w:r>
      <w:proofErr w:type="spellEnd"/>
      <w:r w:rsidRPr="00A65C06">
        <w:rPr>
          <w:rFonts w:cs="David"/>
          <w:rtl/>
        </w:rPr>
        <w:t>.</w:t>
      </w:r>
    </w:p>
    <w:p w:rsidR="00430E5B" w:rsidRDefault="00430E5B" w:rsidP="00430E5B">
      <w:pPr>
        <w:ind w:firstLine="226"/>
        <w:rPr>
          <w:rFonts w:cs="David"/>
          <w:rtl/>
        </w:rPr>
      </w:pPr>
    </w:p>
    <w:p w:rsidR="00430E5B" w:rsidRPr="002E1293" w:rsidRDefault="00430E5B" w:rsidP="00430E5B">
      <w:pPr>
        <w:ind w:firstLine="226"/>
        <w:rPr>
          <w:rFonts w:cs="David"/>
          <w:b/>
          <w:bCs/>
          <w:rtl/>
        </w:rPr>
      </w:pPr>
      <w:proofErr w:type="spellStart"/>
      <w:r>
        <w:rPr>
          <w:rFonts w:cs="David" w:hint="cs"/>
          <w:b/>
          <w:bCs/>
          <w:rtl/>
        </w:rPr>
        <w:t>לוינס</w:t>
      </w:r>
      <w:proofErr w:type="spellEnd"/>
      <w:r>
        <w:rPr>
          <w:rFonts w:cs="David" w:hint="cs"/>
          <w:b/>
          <w:bCs/>
          <w:rtl/>
        </w:rPr>
        <w:t>: הסכמה ראשונית הזרה לתבונה (אך גם) לכפייה</w:t>
      </w:r>
    </w:p>
    <w:p w:rsidR="00430E5B" w:rsidRPr="00923393" w:rsidRDefault="00430E5B" w:rsidP="00430E5B">
      <w:pPr>
        <w:ind w:firstLine="227"/>
        <w:rPr>
          <w:rFonts w:ascii="FrankRuehl" w:hAnsi="FrankRuehl" w:cs="Guttman Vilna"/>
          <w:sz w:val="16"/>
          <w:szCs w:val="16"/>
          <w:rtl/>
        </w:rPr>
      </w:pPr>
      <w:proofErr w:type="spellStart"/>
      <w:r w:rsidRPr="00923393">
        <w:rPr>
          <w:rFonts w:ascii="FrankRuehl" w:hAnsi="FrankRuehl" w:cs="Guttman Vilna" w:hint="cs"/>
          <w:sz w:val="16"/>
          <w:szCs w:val="16"/>
          <w:rtl/>
        </w:rPr>
        <w:t>ו</w:t>
      </w:r>
      <w:r w:rsidRPr="00923393">
        <w:rPr>
          <w:rFonts w:ascii="FrankRuehl" w:hAnsi="FrankRuehl" w:cs="Guttman Vilna"/>
          <w:sz w:val="16"/>
          <w:szCs w:val="16"/>
          <w:rtl/>
        </w:rPr>
        <w:t>יתיצבו</w:t>
      </w:r>
      <w:proofErr w:type="spellEnd"/>
      <w:r w:rsidRPr="00923393">
        <w:rPr>
          <w:rFonts w:ascii="FrankRuehl" w:hAnsi="FrankRuehl" w:cs="Guttman Vilna"/>
          <w:sz w:val="16"/>
          <w:szCs w:val="16"/>
          <w:rtl/>
        </w:rPr>
        <w:t xml:space="preserve"> בתחתית ההר, אמר רב </w:t>
      </w:r>
      <w:proofErr w:type="spellStart"/>
      <w:r w:rsidRPr="00923393">
        <w:rPr>
          <w:rFonts w:ascii="FrankRuehl" w:hAnsi="FrankRuehl" w:cs="Guttman Vilna"/>
          <w:sz w:val="16"/>
          <w:szCs w:val="16"/>
          <w:rtl/>
        </w:rPr>
        <w:t>אבדימי</w:t>
      </w:r>
      <w:proofErr w:type="spellEnd"/>
      <w:r w:rsidRPr="00923393">
        <w:rPr>
          <w:rFonts w:ascii="FrankRuehl" w:hAnsi="FrankRuehl" w:cs="Guttman Vilna"/>
          <w:sz w:val="16"/>
          <w:szCs w:val="16"/>
          <w:rtl/>
        </w:rPr>
        <w:t xml:space="preserve"> בר </w:t>
      </w:r>
      <w:proofErr w:type="spellStart"/>
      <w:r w:rsidRPr="00923393">
        <w:rPr>
          <w:rFonts w:ascii="FrankRuehl" w:hAnsi="FrankRuehl" w:cs="Guttman Vilna"/>
          <w:sz w:val="16"/>
          <w:szCs w:val="16"/>
          <w:rtl/>
        </w:rPr>
        <w:t>חמא</w:t>
      </w:r>
      <w:proofErr w:type="spellEnd"/>
      <w:r w:rsidRPr="00923393">
        <w:rPr>
          <w:rFonts w:ascii="FrankRuehl" w:hAnsi="FrankRuehl" w:cs="Guttman Vilna"/>
          <w:sz w:val="16"/>
          <w:szCs w:val="16"/>
          <w:rtl/>
        </w:rPr>
        <w:t xml:space="preserve"> בר </w:t>
      </w:r>
      <w:proofErr w:type="spellStart"/>
      <w:r w:rsidRPr="00923393">
        <w:rPr>
          <w:rFonts w:ascii="FrankRuehl" w:hAnsi="FrankRuehl" w:cs="Guttman Vilna"/>
          <w:sz w:val="16"/>
          <w:szCs w:val="16"/>
          <w:rtl/>
        </w:rPr>
        <w:t>חסא</w:t>
      </w:r>
      <w:proofErr w:type="spellEnd"/>
      <w:r w:rsidRPr="00923393">
        <w:rPr>
          <w:rFonts w:ascii="FrankRuehl" w:hAnsi="FrankRuehl" w:cs="Guttman Vilna"/>
          <w:sz w:val="16"/>
          <w:szCs w:val="16"/>
          <w:rtl/>
        </w:rPr>
        <w:t xml:space="preserve">: מלמד שכפה הקדוש ברוך הוא עליהם את ההר כגיגית, ואמר להם: אם אתם מקבלים התורה - מוטב, ואם לאו - שם תהא קבורתכם. </w:t>
      </w:r>
    </w:p>
    <w:p w:rsidR="00430E5B" w:rsidRDefault="00430E5B" w:rsidP="00430E5B">
      <w:pPr>
        <w:ind w:firstLine="226"/>
        <w:rPr>
          <w:rFonts w:cs="David"/>
          <w:rtl/>
        </w:rPr>
      </w:pPr>
      <w:r>
        <w:rPr>
          <w:rFonts w:cs="David" w:hint="cs"/>
          <w:rtl/>
        </w:rPr>
        <w:t xml:space="preserve">בתחתית ההר או לרגלי ההר? הפרשן מדייק בלשון הכתוב. האם הוא נצמד לאות הכתובה? האם השפה העברית זרה לו? האם בגלל השכלתו הדלה הוא מייחס למילים משמעות מוחלטת בלי להתחשב בהקשר? או שמא רב </w:t>
      </w:r>
      <w:proofErr w:type="spellStart"/>
      <w:r>
        <w:rPr>
          <w:rFonts w:cs="David" w:hint="cs"/>
          <w:rtl/>
        </w:rPr>
        <w:t>אבדימי</w:t>
      </w:r>
      <w:proofErr w:type="spellEnd"/>
      <w:r>
        <w:rPr>
          <w:rFonts w:cs="David" w:hint="cs"/>
          <w:rtl/>
        </w:rPr>
        <w:t xml:space="preserve"> מעמיד פני תם כדי ללמד אותנו דבר?</w:t>
      </w:r>
    </w:p>
    <w:p w:rsidR="00430E5B" w:rsidRDefault="00430E5B" w:rsidP="00430E5B">
      <w:pPr>
        <w:ind w:firstLine="226"/>
        <w:rPr>
          <w:rFonts w:cs="David"/>
          <w:rtl/>
        </w:rPr>
      </w:pPr>
      <w:r>
        <w:rPr>
          <w:rFonts w:cs="David" w:hint="cs"/>
          <w:rtl/>
        </w:rPr>
        <w:t xml:space="preserve">...עם ישראל נמצא </w:t>
      </w:r>
      <w:r w:rsidRPr="00F50924">
        <w:rPr>
          <w:rFonts w:cs="David" w:hint="cs"/>
          <w:b/>
          <w:rtl/>
        </w:rPr>
        <w:t>תחת ההר</w:t>
      </w:r>
      <w:r>
        <w:rPr>
          <w:rFonts w:cs="David" w:hint="cs"/>
          <w:rtl/>
        </w:rPr>
        <w:t>. ההר נהיה לגיגית הפוכה והוא מאיים להתמוטט על שבטי ישראל אם יסרבו לקבל את החוק. אכן, מצב נאה כדי להפעיל את הרצון החופשי!</w:t>
      </w:r>
    </w:p>
    <w:p w:rsidR="00430E5B" w:rsidRDefault="00430E5B" w:rsidP="00430E5B">
      <w:pPr>
        <w:ind w:firstLine="226"/>
        <w:rPr>
          <w:rFonts w:cs="David"/>
          <w:rtl/>
        </w:rPr>
      </w:pPr>
      <w:r>
        <w:rPr>
          <w:rFonts w:cs="David" w:hint="cs"/>
          <w:rtl/>
        </w:rPr>
        <w:t xml:space="preserve">...האם אתה כבר אחראי כשאתה בוחר להיות כזה? זו הבעיה המתעוררת בעקבות דברי רב </w:t>
      </w:r>
      <w:proofErr w:type="spellStart"/>
      <w:r>
        <w:rPr>
          <w:rFonts w:cs="David" w:hint="cs"/>
          <w:rtl/>
        </w:rPr>
        <w:t>אבדימי</w:t>
      </w:r>
      <w:proofErr w:type="spellEnd"/>
      <w:r>
        <w:rPr>
          <w:rFonts w:cs="David" w:hint="cs"/>
          <w:rtl/>
        </w:rPr>
        <w:t xml:space="preserve">. </w:t>
      </w:r>
      <w:r w:rsidRPr="00F50924">
        <w:rPr>
          <w:rFonts w:cs="David" w:hint="cs"/>
          <w:b/>
          <w:bCs/>
          <w:rtl/>
        </w:rPr>
        <w:t>האם החירות מתחילה במצב של חירות</w:t>
      </w:r>
      <w:r>
        <w:rPr>
          <w:rFonts w:cs="David" w:hint="cs"/>
          <w:rtl/>
        </w:rPr>
        <w:t xml:space="preserve">? על פי רב </w:t>
      </w:r>
      <w:proofErr w:type="spellStart"/>
      <w:r>
        <w:rPr>
          <w:rFonts w:cs="David" w:hint="cs"/>
          <w:rtl/>
        </w:rPr>
        <w:t>אבדימי</w:t>
      </w:r>
      <w:proofErr w:type="spellEnd"/>
      <w:r>
        <w:rPr>
          <w:rFonts w:cs="David" w:hint="cs"/>
          <w:rtl/>
        </w:rPr>
        <w:t xml:space="preserve">, יש כאן מעגל קסמים... בחירת הקיום היהודי המיוחד, בחירת ה"חירות הקשה" להיות יהודי, נראית כבחירה בין הקיום הזה לבין המוות. מן הרגע הראשון, </w:t>
      </w:r>
      <w:r>
        <w:rPr>
          <w:rFonts w:cs="David" w:hint="cs"/>
          <w:b/>
          <w:bCs/>
          <w:rtl/>
        </w:rPr>
        <w:t>אין ברירה</w:t>
      </w:r>
      <w:r>
        <w:rPr>
          <w:rFonts w:cs="David" w:hint="cs"/>
          <w:rtl/>
        </w:rPr>
        <w:t>. "תורה או מוות" [...] אינה ברירה שהאדם חופשי לברור לעצמו. היא נכפית עליו בכוח... בראשית הייתה הכפייה... מדובר בהסכמה עתיקה יותר מזו שניתנת אחרי חקירה... התבונה מתייצבת על גבי הכפייה; [...] ההתגלות מתנה את הוודאות. התורה היא לפי זה התנאי הראשוני למחשבה החופשית... [היא] ההסכמה הראשונית, הזרה לתבונה... מושג ההסכמה המסמן דרך שלישית שאינה זהה עם חוסר תבונה, הסכמה כזו אינה זהה עם התבונה במשמעותה הפילוסופית (43-45)</w:t>
      </w:r>
    </w:p>
    <w:p w:rsidR="00430E5B" w:rsidRPr="00923393" w:rsidRDefault="00430E5B" w:rsidP="00430E5B">
      <w:pPr>
        <w:ind w:firstLine="227"/>
        <w:rPr>
          <w:rFonts w:ascii="FrankRuehl" w:hAnsi="FrankRuehl" w:cs="Guttman Vilna"/>
          <w:sz w:val="16"/>
          <w:szCs w:val="16"/>
          <w:rtl/>
        </w:rPr>
      </w:pPr>
      <w:r w:rsidRPr="00923393">
        <w:rPr>
          <w:rFonts w:ascii="FrankRuehl" w:hAnsi="FrankRuehl" w:cs="Guttman Vilna" w:hint="cs"/>
          <w:sz w:val="16"/>
          <w:szCs w:val="16"/>
          <w:rtl/>
        </w:rPr>
        <w:t xml:space="preserve">אמר רב אחא בר יעקב: מכאן </w:t>
      </w:r>
      <w:proofErr w:type="spellStart"/>
      <w:r w:rsidRPr="00923393">
        <w:rPr>
          <w:rFonts w:ascii="FrankRuehl" w:hAnsi="FrankRuehl" w:cs="Guttman Vilna" w:hint="cs"/>
          <w:sz w:val="16"/>
          <w:szCs w:val="16"/>
          <w:rtl/>
        </w:rPr>
        <w:t>מודעא</w:t>
      </w:r>
      <w:proofErr w:type="spellEnd"/>
      <w:r w:rsidRPr="00923393">
        <w:rPr>
          <w:rFonts w:ascii="FrankRuehl" w:hAnsi="FrankRuehl" w:cs="Guttman Vilna" w:hint="cs"/>
          <w:sz w:val="16"/>
          <w:szCs w:val="16"/>
          <w:rtl/>
        </w:rPr>
        <w:t xml:space="preserve"> רבא </w:t>
      </w:r>
      <w:proofErr w:type="spellStart"/>
      <w:r w:rsidRPr="00923393">
        <w:rPr>
          <w:rFonts w:ascii="FrankRuehl" w:hAnsi="FrankRuehl" w:cs="Guttman Vilna" w:hint="cs"/>
          <w:sz w:val="16"/>
          <w:szCs w:val="16"/>
          <w:rtl/>
        </w:rPr>
        <w:t>לאורייתא</w:t>
      </w:r>
      <w:proofErr w:type="spellEnd"/>
    </w:p>
    <w:p w:rsidR="00430E5B" w:rsidRDefault="00430E5B" w:rsidP="00430E5B">
      <w:pPr>
        <w:ind w:firstLine="226"/>
        <w:rPr>
          <w:rFonts w:cs="David"/>
          <w:rtl/>
        </w:rPr>
      </w:pPr>
      <w:r>
        <w:rPr>
          <w:rFonts w:cs="David" w:hint="cs"/>
          <w:rtl/>
        </w:rPr>
        <w:t>ולכן מובאת ההסתייגות הבאה:</w:t>
      </w:r>
      <w:r>
        <w:rPr>
          <w:rFonts w:cs="David" w:hint="cs"/>
        </w:rPr>
        <w:t xml:space="preserve"> </w:t>
      </w:r>
      <w:r>
        <w:rPr>
          <w:rFonts w:cs="David" w:hint="cs"/>
          <w:rtl/>
        </w:rPr>
        <w:t xml:space="preserve">"מכאן </w:t>
      </w:r>
      <w:proofErr w:type="spellStart"/>
      <w:r>
        <w:rPr>
          <w:rFonts w:cs="David" w:hint="cs"/>
          <w:rtl/>
        </w:rPr>
        <w:t>מודעא</w:t>
      </w:r>
      <w:proofErr w:type="spellEnd"/>
      <w:r>
        <w:rPr>
          <w:rFonts w:cs="David" w:hint="cs"/>
          <w:rtl/>
        </w:rPr>
        <w:t xml:space="preserve"> רבא </w:t>
      </w:r>
      <w:proofErr w:type="spellStart"/>
      <w:r>
        <w:rPr>
          <w:rFonts w:cs="David" w:hint="cs"/>
          <w:rtl/>
        </w:rPr>
        <w:t>לאורייתא</w:t>
      </w:r>
      <w:proofErr w:type="spellEnd"/>
      <w:r>
        <w:rPr>
          <w:rFonts w:cs="David" w:hint="cs"/>
          <w:rtl/>
        </w:rPr>
        <w:t>". אזהרה גדולה הוזהרנו: קבלנו את התורה תחת איום המוות, ולכן אנחנו פטורים מאחריות אם נעבור על מצוותיה... מי שקיבל בלי לחקור, או תחת כפייה, האם לא מסר את עצמו בידי הפיתויים האינסופיים של חוסר האחריות, בלי שום יכולת לעמוד מפניהם? (45)</w:t>
      </w:r>
    </w:p>
    <w:p w:rsidR="00430E5B" w:rsidRPr="00923393" w:rsidRDefault="00430E5B" w:rsidP="00430E5B">
      <w:pPr>
        <w:ind w:firstLine="227"/>
        <w:rPr>
          <w:rFonts w:ascii="FrankRuehl" w:hAnsi="FrankRuehl" w:cs="Guttman Vilna"/>
          <w:sz w:val="16"/>
          <w:szCs w:val="16"/>
          <w:rtl/>
        </w:rPr>
      </w:pPr>
      <w:r w:rsidRPr="00923393">
        <w:rPr>
          <w:rFonts w:ascii="FrankRuehl" w:hAnsi="FrankRuehl" w:cs="Guttman Vilna"/>
          <w:sz w:val="16"/>
          <w:szCs w:val="16"/>
          <w:rtl/>
        </w:rPr>
        <w:t>אמר רבא: הדו</w:t>
      </w:r>
      <w:r w:rsidRPr="00923393">
        <w:rPr>
          <w:rFonts w:ascii="FrankRuehl" w:hAnsi="FrankRuehl" w:cs="Guttman Vilna" w:hint="cs"/>
          <w:sz w:val="16"/>
          <w:szCs w:val="16"/>
          <w:rtl/>
        </w:rPr>
        <w:t>ר</w:t>
      </w:r>
      <w:r w:rsidRPr="00923393">
        <w:rPr>
          <w:rFonts w:ascii="FrankRuehl" w:hAnsi="FrankRuehl" w:cs="Guttman Vilna"/>
          <w:sz w:val="16"/>
          <w:szCs w:val="16"/>
          <w:rtl/>
        </w:rPr>
        <w:t xml:space="preserve"> קבלוה בימי </w:t>
      </w:r>
      <w:proofErr w:type="spellStart"/>
      <w:r w:rsidRPr="00923393">
        <w:rPr>
          <w:rFonts w:ascii="FrankRuehl" w:hAnsi="FrankRuehl" w:cs="Guttman Vilna"/>
          <w:sz w:val="16"/>
          <w:szCs w:val="16"/>
          <w:rtl/>
        </w:rPr>
        <w:t>אחשורוש</w:t>
      </w:r>
      <w:proofErr w:type="spellEnd"/>
      <w:r w:rsidRPr="00923393">
        <w:rPr>
          <w:rFonts w:ascii="FrankRuehl" w:hAnsi="FrankRuehl" w:cs="Guttman Vilna"/>
          <w:sz w:val="16"/>
          <w:szCs w:val="16"/>
          <w:rtl/>
        </w:rPr>
        <w:t xml:space="preserve">, </w:t>
      </w:r>
      <w:proofErr w:type="spellStart"/>
      <w:r w:rsidRPr="00923393">
        <w:rPr>
          <w:rFonts w:ascii="FrankRuehl" w:hAnsi="FrankRuehl" w:cs="Guttman Vilna"/>
          <w:sz w:val="16"/>
          <w:szCs w:val="16"/>
          <w:rtl/>
        </w:rPr>
        <w:t>דכתיב</w:t>
      </w:r>
      <w:proofErr w:type="spellEnd"/>
      <w:r w:rsidRPr="00923393">
        <w:rPr>
          <w:rFonts w:ascii="FrankRuehl" w:hAnsi="FrankRuehl" w:cs="Guttman Vilna"/>
          <w:sz w:val="16"/>
          <w:szCs w:val="16"/>
          <w:rtl/>
        </w:rPr>
        <w:t xml:space="preserve"> "קיימו וקבלו היהודים", קיימו את שקבלו כבר</w:t>
      </w:r>
    </w:p>
    <w:p w:rsidR="00430E5B" w:rsidRDefault="00430E5B" w:rsidP="00430E5B">
      <w:pPr>
        <w:ind w:firstLine="226"/>
        <w:rPr>
          <w:rFonts w:cs="David"/>
          <w:rtl/>
        </w:rPr>
      </w:pPr>
      <w:r>
        <w:rPr>
          <w:rFonts w:cs="David" w:hint="cs"/>
          <w:rtl/>
        </w:rPr>
        <w:t xml:space="preserve">הדור קבלוה בימי </w:t>
      </w:r>
      <w:proofErr w:type="spellStart"/>
      <w:r>
        <w:rPr>
          <w:rFonts w:cs="David" w:hint="cs"/>
          <w:rtl/>
        </w:rPr>
        <w:t>אחשורוש</w:t>
      </w:r>
      <w:proofErr w:type="spellEnd"/>
      <w:r>
        <w:rPr>
          <w:rFonts w:cs="David" w:hint="cs"/>
          <w:rtl/>
        </w:rPr>
        <w:t xml:space="preserve"> </w:t>
      </w:r>
      <w:r>
        <w:rPr>
          <w:rFonts w:cs="David"/>
          <w:rtl/>
        </w:rPr>
        <w:t>–</w:t>
      </w:r>
      <w:r>
        <w:rPr>
          <w:rFonts w:cs="David" w:hint="cs"/>
          <w:rtl/>
        </w:rPr>
        <w:t xml:space="preserve"> היהודים קיבלוה על עצמם בזמן מאוחר יותר, אחרי דורות רבים של היסטוריה יהודית. כמה נחמדה ההיסטוריה הזאת! אסתר </w:t>
      </w:r>
      <w:r>
        <w:rPr>
          <w:rFonts w:cs="David"/>
          <w:rtl/>
        </w:rPr>
        <w:t>–</w:t>
      </w:r>
      <w:r>
        <w:rPr>
          <w:rFonts w:cs="David" w:hint="cs"/>
          <w:rtl/>
        </w:rPr>
        <w:t xml:space="preserve"> אבל גם המן: סכנות וניסים. כמה טוב להיות יהודי...! מלבד אם נחליט, אחרי תלאות שכאלה, לא לשחק עוד. מכאן ואילך נהיה פטורים מן </w:t>
      </w:r>
      <w:proofErr w:type="spellStart"/>
      <w:r>
        <w:rPr>
          <w:rFonts w:cs="David" w:hint="cs"/>
          <w:rtl/>
        </w:rPr>
        <w:t>הכל</w:t>
      </w:r>
      <w:proofErr w:type="spellEnd"/>
      <w:r>
        <w:rPr>
          <w:rFonts w:cs="David" w:hint="cs"/>
          <w:rtl/>
        </w:rPr>
        <w:t>: מן הניצחון ומהמן, מן הנסים ומן האסונות... (45)</w:t>
      </w:r>
    </w:p>
    <w:p w:rsidR="00430E5B" w:rsidRDefault="00430E5B" w:rsidP="00430E5B">
      <w:pPr>
        <w:ind w:firstLine="226"/>
        <w:rPr>
          <w:rFonts w:cs="David"/>
          <w:rtl/>
        </w:rPr>
      </w:pPr>
      <w:r>
        <w:rPr>
          <w:rFonts w:cs="David" w:hint="cs"/>
          <w:rtl/>
        </w:rPr>
        <w:lastRenderedPageBreak/>
        <w:t xml:space="preserve">מגילת אסתר שמוזכרת כאן מספר כיצד נקבע חג לזכר הצלת פורים, עם מתנות לאביונים, משתה וקריאת המגילה. היהודים "קיימו וקבלו" את כל זה... הם קיימו לפני שקבלו. כאלף שנה אחרי מעמד הר סיני הקבלה הכפויה הפכה להסכמה חופשית. והנה, כשמעיינים בדבר, ההסכמה החופשית הזאת פירושה תחילה לעשות ואחר כך להצטרף... העשייה קודמת להצטרפות... החירות שעליה מדובר בספר היהודי הזה... מתחילה במצב של אי-חירות, שאינו לא חירות ולא עבדות: מעבר לחירות... אם לא תקבלו את התורה... לא תוכלו להתחיל את ההיסטוריה, לא תוכלו לנפץ את גוש המציאות הנהנית מעצמה, כמו המן השותה עם </w:t>
      </w:r>
      <w:proofErr w:type="spellStart"/>
      <w:r>
        <w:rPr>
          <w:rFonts w:cs="David" w:hint="cs"/>
          <w:rtl/>
        </w:rPr>
        <w:t>אחשורוש</w:t>
      </w:r>
      <w:proofErr w:type="spellEnd"/>
      <w:r>
        <w:rPr>
          <w:rFonts w:cs="David" w:hint="cs"/>
          <w:rtl/>
        </w:rPr>
        <w:t xml:space="preserve"> (46-47)</w:t>
      </w:r>
    </w:p>
    <w:p w:rsidR="00430E5B" w:rsidRPr="002E1293" w:rsidRDefault="00430E5B" w:rsidP="00430E5B">
      <w:pPr>
        <w:ind w:firstLine="227"/>
        <w:rPr>
          <w:rFonts w:ascii="FrankRuehl" w:hAnsi="FrankRuehl" w:cs="Guttman Vilna"/>
          <w:sz w:val="16"/>
          <w:szCs w:val="16"/>
          <w:rtl/>
        </w:rPr>
      </w:pPr>
      <w:proofErr w:type="spellStart"/>
      <w:r w:rsidRPr="002E1293">
        <w:rPr>
          <w:rFonts w:ascii="FrankRuehl" w:hAnsi="FrankRuehl" w:cs="Guttman Vilna"/>
          <w:sz w:val="16"/>
          <w:szCs w:val="16"/>
          <w:rtl/>
        </w:rPr>
        <w:t>דאמר</w:t>
      </w:r>
      <w:proofErr w:type="spellEnd"/>
      <w:r w:rsidRPr="002E1293">
        <w:rPr>
          <w:rFonts w:ascii="FrankRuehl" w:hAnsi="FrankRuehl" w:cs="Guttman Vilna"/>
          <w:sz w:val="16"/>
          <w:szCs w:val="16"/>
          <w:rtl/>
        </w:rPr>
        <w:t xml:space="preserve"> ריש לקיש: מאי </w:t>
      </w:r>
      <w:proofErr w:type="spellStart"/>
      <w:r w:rsidRPr="002E1293">
        <w:rPr>
          <w:rFonts w:ascii="FrankRuehl" w:hAnsi="FrankRuehl" w:cs="Guttman Vilna"/>
          <w:sz w:val="16"/>
          <w:szCs w:val="16"/>
          <w:rtl/>
        </w:rPr>
        <w:t>דכתיב</w:t>
      </w:r>
      <w:proofErr w:type="spellEnd"/>
      <w:r w:rsidRPr="002E1293">
        <w:rPr>
          <w:rFonts w:ascii="FrankRuehl" w:hAnsi="FrankRuehl" w:cs="Guttman Vilna"/>
          <w:sz w:val="16"/>
          <w:szCs w:val="16"/>
          <w:rtl/>
        </w:rPr>
        <w:t xml:space="preserve"> ויהי ערב ויהי בקר יום </w:t>
      </w:r>
      <w:proofErr w:type="spellStart"/>
      <w:r w:rsidRPr="002E1293">
        <w:rPr>
          <w:rFonts w:ascii="FrankRuehl" w:hAnsi="FrankRuehl" w:cs="Guttman Vilna"/>
          <w:sz w:val="16"/>
          <w:szCs w:val="16"/>
          <w:rtl/>
        </w:rPr>
        <w:t>הששי</w:t>
      </w:r>
      <w:proofErr w:type="spellEnd"/>
      <w:r w:rsidRPr="002E1293">
        <w:rPr>
          <w:rFonts w:ascii="FrankRuehl" w:hAnsi="FrankRuehl" w:cs="Guttman Vilna"/>
          <w:sz w:val="16"/>
          <w:szCs w:val="16"/>
          <w:rtl/>
        </w:rPr>
        <w:t xml:space="preserve">, ה"א יתירה למה לי? - מלמד שהתנה הקדוש ברוך הוא עם מעשה בראשית, ואמר להם: אם ישראל מקבלים התורה - אתם </w:t>
      </w:r>
      <w:proofErr w:type="spellStart"/>
      <w:r w:rsidRPr="002E1293">
        <w:rPr>
          <w:rFonts w:ascii="FrankRuehl" w:hAnsi="FrankRuehl" w:cs="Guttman Vilna"/>
          <w:sz w:val="16"/>
          <w:szCs w:val="16"/>
          <w:rtl/>
        </w:rPr>
        <w:t>מתקיימין</w:t>
      </w:r>
      <w:proofErr w:type="spellEnd"/>
      <w:r w:rsidRPr="002E1293">
        <w:rPr>
          <w:rFonts w:ascii="FrankRuehl" w:hAnsi="FrankRuehl" w:cs="Guttman Vilna"/>
          <w:sz w:val="16"/>
          <w:szCs w:val="16"/>
          <w:rtl/>
        </w:rPr>
        <w:t>, ואם לאו - אני מחזיר אתכם לתוהו ובוהו.</w:t>
      </w:r>
    </w:p>
    <w:p w:rsidR="00430E5B" w:rsidRDefault="00430E5B" w:rsidP="00430E5B">
      <w:pPr>
        <w:ind w:firstLine="226"/>
        <w:rPr>
          <w:rFonts w:cs="David"/>
          <w:rtl/>
        </w:rPr>
      </w:pPr>
      <w:r>
        <w:rPr>
          <w:rFonts w:cs="David" w:hint="cs"/>
          <w:rtl/>
        </w:rPr>
        <w:t xml:space="preserve">הקדמת ההסכמה לחירות אינה מבטאת רק אפשרות אנושית, אלא קובעת את מהות המציאות, ומשמעותה האחרונה של הבריאה גנוזה בה. משמע המציאות, משמע הבריאה, זה קיום התורה. העולם קיים כדי שיוכל הסדר האתי להתממש. מעשה קבלת התורה על ידי בני ישראל הוא המעשה הנותן למציאות משמעות. הפסוק מרחיב... את המצב שחקרנו אל כלל ההוויה: העולם האומלל הוכרח בזמנו לקבל את שעבודו לסדר המוסרי, והר סיני היה עבורו הזמן שבו הוכרעה השאלה </w:t>
      </w:r>
      <w:r>
        <w:rPr>
          <w:rFonts w:cs="David"/>
          <w:rtl/>
        </w:rPr>
        <w:t>–</w:t>
      </w:r>
      <w:r>
        <w:rPr>
          <w:rFonts w:cs="David" w:hint="cs"/>
          <w:rtl/>
        </w:rPr>
        <w:t xml:space="preserve"> להיות או לא להיות... בעיית האונטולוגיה תבוא על פתרונה ביאור המעשה שבו קבלו בני ישראל  את התורה. על פי הנחתנו, זה מעשה ההתגברות על פיתוי הרוע על ידי פרישה מפיתוי הפיתוי (48-49)</w:t>
      </w:r>
    </w:p>
    <w:p w:rsidR="00430E5B" w:rsidRDefault="00430E5B" w:rsidP="00430E5B">
      <w:pPr>
        <w:ind w:firstLine="226"/>
        <w:rPr>
          <w:rFonts w:cs="David"/>
          <w:rtl/>
        </w:rPr>
      </w:pPr>
    </w:p>
    <w:p w:rsidR="00430E5B" w:rsidRPr="002E1293" w:rsidRDefault="00430E5B" w:rsidP="00430E5B">
      <w:pPr>
        <w:ind w:firstLine="226"/>
        <w:rPr>
          <w:rFonts w:cs="David"/>
          <w:b/>
          <w:bCs/>
          <w:rtl/>
        </w:rPr>
      </w:pPr>
      <w:r>
        <w:rPr>
          <w:rFonts w:cs="David" w:hint="cs"/>
          <w:b/>
          <w:bCs/>
          <w:rtl/>
        </w:rPr>
        <w:t>לוינס2: ההתעלות והנפילה</w:t>
      </w:r>
    </w:p>
    <w:p w:rsidR="00430E5B" w:rsidRPr="002E1293" w:rsidRDefault="00430E5B" w:rsidP="00430E5B">
      <w:pPr>
        <w:ind w:firstLine="226"/>
        <w:rPr>
          <w:rFonts w:ascii="FrankRuehl" w:hAnsi="FrankRuehl" w:cs="Guttman Vilna"/>
          <w:sz w:val="16"/>
          <w:szCs w:val="16"/>
          <w:rtl/>
        </w:rPr>
      </w:pPr>
      <w:r w:rsidRPr="002E1293">
        <w:rPr>
          <w:rFonts w:ascii="FrankRuehl" w:hAnsi="FrankRuehl" w:cs="Guttman Vilna"/>
          <w:sz w:val="16"/>
          <w:szCs w:val="16"/>
          <w:rtl/>
        </w:rPr>
        <w:t xml:space="preserve">דרש רבי </w:t>
      </w:r>
      <w:proofErr w:type="spellStart"/>
      <w:r w:rsidRPr="002E1293">
        <w:rPr>
          <w:rFonts w:ascii="FrankRuehl" w:hAnsi="FrankRuehl" w:cs="Guttman Vilna"/>
          <w:sz w:val="16"/>
          <w:szCs w:val="16"/>
          <w:rtl/>
        </w:rPr>
        <w:t>סימאי</w:t>
      </w:r>
      <w:proofErr w:type="spellEnd"/>
      <w:r w:rsidRPr="002E1293">
        <w:rPr>
          <w:rFonts w:ascii="FrankRuehl" w:hAnsi="FrankRuehl" w:cs="Guttman Vilna"/>
          <w:sz w:val="16"/>
          <w:szCs w:val="16"/>
          <w:rtl/>
        </w:rPr>
        <w:t>: בשעה שהקדימו ישראל נעשה לנשמע, באו ששים ריבוא של מלאכי השרת, לכל אחד ואחד מישראל קשרו לו שני כתרים, אחד כנגד נעשה ואחד כנגד נשמע.</w:t>
      </w:r>
      <w:r w:rsidRPr="002E1293">
        <w:rPr>
          <w:rFonts w:ascii="FrankRuehl" w:hAnsi="FrankRuehl" w:cs="Guttman Vilna" w:hint="cs"/>
          <w:sz w:val="16"/>
          <w:szCs w:val="16"/>
          <w:rtl/>
        </w:rPr>
        <w:t>..</w:t>
      </w:r>
    </w:p>
    <w:p w:rsidR="00430E5B" w:rsidRPr="002E1293" w:rsidRDefault="00430E5B" w:rsidP="00430E5B">
      <w:pPr>
        <w:ind w:firstLine="226"/>
        <w:rPr>
          <w:rFonts w:ascii="FrankRuehl" w:hAnsi="FrankRuehl" w:cs="Guttman Vilna"/>
          <w:sz w:val="16"/>
          <w:szCs w:val="16"/>
          <w:rtl/>
        </w:rPr>
      </w:pPr>
      <w:r w:rsidRPr="002E1293">
        <w:rPr>
          <w:rFonts w:ascii="FrankRuehl" w:hAnsi="FrankRuehl" w:cs="Guttman Vilna"/>
          <w:sz w:val="16"/>
          <w:szCs w:val="16"/>
          <w:rtl/>
        </w:rPr>
        <w:t xml:space="preserve">אמר רבי אלעזר: בשעה שהקדימו ישראל נעשה לנשמע </w:t>
      </w:r>
      <w:proofErr w:type="spellStart"/>
      <w:r w:rsidRPr="002E1293">
        <w:rPr>
          <w:rFonts w:ascii="FrankRuehl" w:hAnsi="FrankRuehl" w:cs="Guttman Vilna"/>
          <w:sz w:val="16"/>
          <w:szCs w:val="16"/>
          <w:rtl/>
        </w:rPr>
        <w:t>יצתה</w:t>
      </w:r>
      <w:proofErr w:type="spellEnd"/>
      <w:r w:rsidRPr="002E1293">
        <w:rPr>
          <w:rFonts w:ascii="FrankRuehl" w:hAnsi="FrankRuehl" w:cs="Guttman Vilna"/>
          <w:sz w:val="16"/>
          <w:szCs w:val="16"/>
          <w:rtl/>
        </w:rPr>
        <w:t xml:space="preserve"> בת קול ואמרה להן: מי גילה לבני רז זה שמלאכי השרת </w:t>
      </w:r>
      <w:proofErr w:type="spellStart"/>
      <w:r w:rsidRPr="002E1293">
        <w:rPr>
          <w:rFonts w:ascii="FrankRuehl" w:hAnsi="FrankRuehl" w:cs="Guttman Vilna"/>
          <w:sz w:val="16"/>
          <w:szCs w:val="16"/>
          <w:rtl/>
        </w:rPr>
        <w:t>משתמשין</w:t>
      </w:r>
      <w:proofErr w:type="spellEnd"/>
      <w:r w:rsidRPr="002E1293">
        <w:rPr>
          <w:rFonts w:ascii="FrankRuehl" w:hAnsi="FrankRuehl" w:cs="Guttman Vilna"/>
          <w:sz w:val="16"/>
          <w:szCs w:val="16"/>
          <w:rtl/>
        </w:rPr>
        <w:t xml:space="preserve"> בו? </w:t>
      </w:r>
      <w:proofErr w:type="spellStart"/>
      <w:r w:rsidRPr="002E1293">
        <w:rPr>
          <w:rFonts w:ascii="FrankRuehl" w:hAnsi="FrankRuehl" w:cs="Guttman Vilna"/>
          <w:sz w:val="16"/>
          <w:szCs w:val="16"/>
          <w:rtl/>
        </w:rPr>
        <w:t>דכתיב</w:t>
      </w:r>
      <w:proofErr w:type="spellEnd"/>
      <w:r w:rsidRPr="002E1293">
        <w:rPr>
          <w:rFonts w:ascii="FrankRuehl" w:hAnsi="FrankRuehl" w:cs="Guttman Vilna"/>
          <w:sz w:val="16"/>
          <w:szCs w:val="16"/>
          <w:rtl/>
        </w:rPr>
        <w:t xml:space="preserve"> ברכו ה' מלאכיו גברי </w:t>
      </w:r>
      <w:proofErr w:type="spellStart"/>
      <w:r w:rsidRPr="002E1293">
        <w:rPr>
          <w:rFonts w:ascii="FrankRuehl" w:hAnsi="FrankRuehl" w:cs="Guttman Vilna"/>
          <w:sz w:val="16"/>
          <w:szCs w:val="16"/>
          <w:rtl/>
        </w:rPr>
        <w:t>כח</w:t>
      </w:r>
      <w:proofErr w:type="spellEnd"/>
      <w:r w:rsidRPr="002E1293">
        <w:rPr>
          <w:rFonts w:ascii="FrankRuehl" w:hAnsi="FrankRuehl" w:cs="Guttman Vilna"/>
          <w:sz w:val="16"/>
          <w:szCs w:val="16"/>
          <w:rtl/>
        </w:rPr>
        <w:t xml:space="preserve"> עשי דברו לשמע בקול דברו, ברישא עשי, והדר לשמע.</w:t>
      </w:r>
    </w:p>
    <w:p w:rsidR="00430E5B" w:rsidRDefault="00430E5B" w:rsidP="00430E5B">
      <w:pPr>
        <w:ind w:firstLine="226"/>
        <w:rPr>
          <w:rFonts w:cs="David"/>
          <w:rtl/>
        </w:rPr>
      </w:pPr>
      <w:r>
        <w:rPr>
          <w:rFonts w:cs="David" w:hint="cs"/>
          <w:rtl/>
        </w:rPr>
        <w:t xml:space="preserve">קבלתה של התורה קודמת להכרתה. יש כאן שערורייה עבור ההיגיון, ויש כאן מקום לחשוב שמדובר באמונה עיוורת או בביטחון ילדותי תמים; אבל זו גם תכונתה של כל עשייה בעלת שאר-רוח... רבי </w:t>
      </w:r>
      <w:proofErr w:type="spellStart"/>
      <w:r>
        <w:rPr>
          <w:rFonts w:cs="David" w:hint="cs"/>
          <w:rtl/>
        </w:rPr>
        <w:t>סימאי</w:t>
      </w:r>
      <w:proofErr w:type="spellEnd"/>
      <w:r>
        <w:rPr>
          <w:rFonts w:cs="David" w:hint="cs"/>
          <w:rtl/>
        </w:rPr>
        <w:t xml:space="preserve"> מדגיש את המופלא בדיבר המקראי הזה... האם ברור שבני ישראל דברו כנגד כל היגיון וכנגד כל תבונה נבונה? ייתכן כי רצו להביע את אמונם; מתוך אמון במי שמדבר אנחנו מבטיחים לקיים, ועכשיו נשמע את מה שהוא אומר. [אולי] אין כאן שום פרדוקס מלבד התעוררות האמון? ובכל זאת התלמוד קורא כמה שורות אחר כך להפיכת הסדר הפרדוקסלית הזאת בשם "רז של מלאכי השרת"... לא מדובר על הפיכת העשייה לסוג של הבנה, אלא על סוג של הבנה החושפת את המבנה העמוק של הסובייקטיביות... </w:t>
      </w:r>
      <w:r w:rsidRPr="00E76865">
        <w:rPr>
          <w:rFonts w:cs="David" w:hint="cs"/>
          <w:b/>
          <w:bCs/>
          <w:rtl/>
        </w:rPr>
        <w:t>ולכן חשוב כל כך להראות שהפיכת הסדר היא עקרונית</w:t>
      </w:r>
      <w:r>
        <w:rPr>
          <w:rFonts w:cs="David" w:hint="cs"/>
          <w:rtl/>
        </w:rPr>
        <w:t xml:space="preserve"> (49-50)</w:t>
      </w:r>
    </w:p>
    <w:p w:rsidR="00430E5B" w:rsidRDefault="00430E5B" w:rsidP="00430E5B">
      <w:pPr>
        <w:ind w:firstLine="226"/>
        <w:rPr>
          <w:rFonts w:cs="David"/>
          <w:rtl/>
        </w:rPr>
      </w:pPr>
      <w:r>
        <w:rPr>
          <w:rFonts w:cs="David" w:hint="cs"/>
          <w:rtl/>
        </w:rPr>
        <w:t>חכמי התלמוד עודם משתאים מהסדר הפרדוקסלי של ה"נעשה ונשמע"... מדובר ברז של מלאכים ולא בהכרה ילדותית. עם ישראל גילה את סודם של השכלים הנבדלים... סדר הקיום המלאכי (53)</w:t>
      </w:r>
    </w:p>
    <w:p w:rsidR="00430E5B" w:rsidRPr="002E1293" w:rsidRDefault="00430E5B" w:rsidP="00430E5B">
      <w:pPr>
        <w:ind w:firstLine="226"/>
        <w:rPr>
          <w:rFonts w:ascii="FrankRuehl" w:hAnsi="FrankRuehl" w:cs="Guttman Vilna"/>
          <w:sz w:val="16"/>
          <w:szCs w:val="16"/>
          <w:rtl/>
        </w:rPr>
      </w:pPr>
      <w:r w:rsidRPr="002E1293">
        <w:rPr>
          <w:rFonts w:ascii="FrankRuehl" w:hAnsi="FrankRuehl" w:cs="Guttman Vilna"/>
          <w:sz w:val="16"/>
          <w:szCs w:val="16"/>
          <w:rtl/>
        </w:rPr>
        <w:t xml:space="preserve">באו ששים ריבוא של מלאכי השרת, לכל אחד ואחד מישראל קשרו לו שני כתרים, אחד כנגד נעשה ואחד כנגד נשמע. וכיון שחטאו ישראל, ירדו מאה ועשרים ריבוא מלאכי חבלה, ופירקום. שנאמר ויתנצלו בני ישראל את עדים מהר חורב. אמר רבי </w:t>
      </w:r>
      <w:proofErr w:type="spellStart"/>
      <w:r w:rsidRPr="002E1293">
        <w:rPr>
          <w:rFonts w:ascii="FrankRuehl" w:hAnsi="FrankRuehl" w:cs="Guttman Vilna"/>
          <w:sz w:val="16"/>
          <w:szCs w:val="16"/>
          <w:rtl/>
        </w:rPr>
        <w:t>חמא</w:t>
      </w:r>
      <w:proofErr w:type="spellEnd"/>
      <w:r w:rsidRPr="002E1293">
        <w:rPr>
          <w:rFonts w:ascii="FrankRuehl" w:hAnsi="FrankRuehl" w:cs="Guttman Vilna"/>
          <w:sz w:val="16"/>
          <w:szCs w:val="16"/>
          <w:rtl/>
        </w:rPr>
        <w:t xml:space="preserve"> ברבי </w:t>
      </w:r>
      <w:proofErr w:type="spellStart"/>
      <w:r w:rsidRPr="002E1293">
        <w:rPr>
          <w:rFonts w:ascii="FrankRuehl" w:hAnsi="FrankRuehl" w:cs="Guttman Vilna"/>
          <w:sz w:val="16"/>
          <w:szCs w:val="16"/>
          <w:rtl/>
        </w:rPr>
        <w:t>חנינא</w:t>
      </w:r>
      <w:proofErr w:type="spellEnd"/>
      <w:r w:rsidRPr="002E1293">
        <w:rPr>
          <w:rFonts w:ascii="FrankRuehl" w:hAnsi="FrankRuehl" w:cs="Guttman Vilna"/>
          <w:sz w:val="16"/>
          <w:szCs w:val="16"/>
          <w:rtl/>
        </w:rPr>
        <w:t>: בחורב טענו, בחורב פרקו.</w:t>
      </w:r>
    </w:p>
    <w:p w:rsidR="00430E5B" w:rsidRPr="00EF3F2B" w:rsidRDefault="00430E5B" w:rsidP="00430E5B">
      <w:pPr>
        <w:ind w:firstLine="226"/>
        <w:rPr>
          <w:rFonts w:cs="David"/>
          <w:rtl/>
        </w:rPr>
      </w:pPr>
      <w:r>
        <w:rPr>
          <w:rFonts w:cs="David" w:hint="cs"/>
          <w:rtl/>
        </w:rPr>
        <w:t xml:space="preserve">התלמוד מעוניין במיוחד לקרב את ההתעלות בסיני/חורב, לנפילה. הן מתרחשות כמעט באותו רגע: בחורב היהודי מתקשט ומתפשט. הבחירה המעולה, שהקדימה נעשה לנשמע, אינה מונעת את הנפילה: היא לא מעניקה חסות בפני הפיתוי, אלא בפני פיתוי הפיתוי. [ולכן] החטא עצמו אינו משחית את השלמות, את ה"תמימות" שבאה לידי ביטוי בסדר שבו ה"נעשה" קודם ל"נשמע". מדובר בחטא שבא כמובן בעקבות פיתוי, אך הוא לא מתפתה מן הפיתוי: הוא לא מערער על ודאות הטוב והרוע. זה חטא עצוב, בלי כתרים... לכן החוטא יכול לשוב... הם לא יכלו שלא להרגיש את דבקותם המקורית בטוב, שבגללה אמרו "נעשה ונשמע"... הרוע יכול לכרסם בדבקות הבלתי-מותנית הזו בטוב בלי להשחית אותה, שכן דבקות זו... דוחה </w:t>
      </w:r>
      <w:r>
        <w:rPr>
          <w:rFonts w:cs="David" w:hint="cs"/>
          <w:rtl/>
        </w:rPr>
        <w:lastRenderedPageBreak/>
        <w:t xml:space="preserve">כל אפשרות של יציאה על מחוץ לתחום השיפוט של המוסר בסיוע פיתוי הפיתוי... לא מן הנמנע </w:t>
      </w:r>
      <w:r w:rsidRPr="002E1293">
        <w:rPr>
          <w:rFonts w:cs="David" w:hint="cs"/>
          <w:b/>
          <w:bCs/>
          <w:rtl/>
        </w:rPr>
        <w:t>שקיימת</w:t>
      </w:r>
      <w:r>
        <w:rPr>
          <w:rFonts w:cs="David" w:hint="cs"/>
          <w:rtl/>
        </w:rPr>
        <w:t xml:space="preserve"> אמנה עם הטוב לפני הברירה בין טוב לרע (50-51)</w:t>
      </w:r>
    </w:p>
    <w:p w:rsidR="00430E5B" w:rsidRDefault="00430E5B" w:rsidP="00430E5B">
      <w:pPr>
        <w:ind w:firstLine="226"/>
        <w:rPr>
          <w:rFonts w:cs="David"/>
          <w:rtl/>
        </w:rPr>
      </w:pPr>
    </w:p>
    <w:p w:rsidR="00430E5B" w:rsidRDefault="00430E5B" w:rsidP="00430E5B">
      <w:pPr>
        <w:ind w:firstLine="226"/>
        <w:rPr>
          <w:rFonts w:cs="David"/>
          <w:rtl/>
        </w:rPr>
      </w:pPr>
    </w:p>
    <w:p w:rsidR="00430E5B" w:rsidRPr="002E1293" w:rsidRDefault="00430E5B" w:rsidP="00430E5B">
      <w:pPr>
        <w:ind w:firstLine="226"/>
        <w:rPr>
          <w:rFonts w:cs="David"/>
          <w:b/>
          <w:bCs/>
          <w:rtl/>
        </w:rPr>
      </w:pPr>
      <w:r w:rsidRPr="002E1293">
        <w:rPr>
          <w:rFonts w:cs="David" w:hint="cs"/>
          <w:b/>
          <w:bCs/>
          <w:rtl/>
        </w:rPr>
        <w:t>לוינס3: הדבקות, או הגירוד עד זוב ד</w:t>
      </w:r>
      <w:r>
        <w:rPr>
          <w:rFonts w:cs="David" w:hint="cs"/>
          <w:b/>
          <w:bCs/>
          <w:rtl/>
        </w:rPr>
        <w:t>ם</w:t>
      </w:r>
    </w:p>
    <w:p w:rsidR="00430E5B" w:rsidRPr="002E1293" w:rsidRDefault="00430E5B" w:rsidP="00430E5B">
      <w:pPr>
        <w:ind w:firstLine="226"/>
        <w:rPr>
          <w:rFonts w:ascii="FrankRuehl" w:hAnsi="FrankRuehl" w:cs="Guttman Vilna"/>
          <w:sz w:val="16"/>
          <w:szCs w:val="16"/>
          <w:rtl/>
        </w:rPr>
      </w:pPr>
      <w:r w:rsidRPr="002E1293">
        <w:rPr>
          <w:rFonts w:ascii="FrankRuehl" w:hAnsi="FrankRuehl" w:cs="Guttman Vilna"/>
          <w:sz w:val="16"/>
          <w:szCs w:val="16"/>
          <w:rtl/>
        </w:rPr>
        <w:t xml:space="preserve">ההוא </w:t>
      </w:r>
      <w:proofErr w:type="spellStart"/>
      <w:r w:rsidRPr="002E1293">
        <w:rPr>
          <w:rFonts w:ascii="FrankRuehl" w:hAnsi="FrankRuehl" w:cs="Guttman Vilna"/>
          <w:sz w:val="16"/>
          <w:szCs w:val="16"/>
          <w:rtl/>
        </w:rPr>
        <w:t>מינא</w:t>
      </w:r>
      <w:proofErr w:type="spellEnd"/>
      <w:r w:rsidRPr="002E1293">
        <w:rPr>
          <w:rFonts w:ascii="FrankRuehl" w:hAnsi="FrankRuehl" w:cs="Guttman Vilna"/>
          <w:sz w:val="16"/>
          <w:szCs w:val="16"/>
          <w:rtl/>
        </w:rPr>
        <w:t xml:space="preserve"> </w:t>
      </w:r>
      <w:proofErr w:type="spellStart"/>
      <w:r w:rsidRPr="002E1293">
        <w:rPr>
          <w:rFonts w:ascii="FrankRuehl" w:hAnsi="FrankRuehl" w:cs="Guttman Vilna"/>
          <w:sz w:val="16"/>
          <w:szCs w:val="16"/>
          <w:rtl/>
        </w:rPr>
        <w:t>דחזייה</w:t>
      </w:r>
      <w:proofErr w:type="spellEnd"/>
      <w:r w:rsidRPr="002E1293">
        <w:rPr>
          <w:rFonts w:ascii="FrankRuehl" w:hAnsi="FrankRuehl" w:cs="Guttman Vilna"/>
          <w:sz w:val="16"/>
          <w:szCs w:val="16"/>
          <w:rtl/>
        </w:rPr>
        <w:t xml:space="preserve"> </w:t>
      </w:r>
      <w:proofErr w:type="spellStart"/>
      <w:r w:rsidRPr="002E1293">
        <w:rPr>
          <w:rFonts w:ascii="FrankRuehl" w:hAnsi="FrankRuehl" w:cs="Guttman Vilna"/>
          <w:sz w:val="16"/>
          <w:szCs w:val="16"/>
          <w:rtl/>
        </w:rPr>
        <w:t>לרבא</w:t>
      </w:r>
      <w:proofErr w:type="spellEnd"/>
      <w:r w:rsidRPr="002E1293">
        <w:rPr>
          <w:rFonts w:ascii="FrankRuehl" w:hAnsi="FrankRuehl" w:cs="Guttman Vilna"/>
          <w:sz w:val="16"/>
          <w:szCs w:val="16"/>
          <w:rtl/>
        </w:rPr>
        <w:t xml:space="preserve"> </w:t>
      </w:r>
      <w:proofErr w:type="spellStart"/>
      <w:r w:rsidRPr="002E1293">
        <w:rPr>
          <w:rFonts w:ascii="FrankRuehl" w:hAnsi="FrankRuehl" w:cs="Guttman Vilna"/>
          <w:sz w:val="16"/>
          <w:szCs w:val="16"/>
          <w:rtl/>
        </w:rPr>
        <w:t>דקא</w:t>
      </w:r>
      <w:proofErr w:type="spellEnd"/>
      <w:r w:rsidRPr="002E1293">
        <w:rPr>
          <w:rFonts w:ascii="FrankRuehl" w:hAnsi="FrankRuehl" w:cs="Guttman Vilna"/>
          <w:sz w:val="16"/>
          <w:szCs w:val="16"/>
          <w:rtl/>
        </w:rPr>
        <w:t xml:space="preserve"> מעיין </w:t>
      </w:r>
      <w:proofErr w:type="spellStart"/>
      <w:r w:rsidRPr="002E1293">
        <w:rPr>
          <w:rFonts w:ascii="FrankRuehl" w:hAnsi="FrankRuehl" w:cs="Guttman Vilna"/>
          <w:sz w:val="16"/>
          <w:szCs w:val="16"/>
          <w:rtl/>
        </w:rPr>
        <w:t>בשמעתא</w:t>
      </w:r>
      <w:proofErr w:type="spellEnd"/>
      <w:r w:rsidRPr="002E1293">
        <w:rPr>
          <w:rFonts w:ascii="FrankRuehl" w:hAnsi="FrankRuehl" w:cs="Guttman Vilna"/>
          <w:sz w:val="16"/>
          <w:szCs w:val="16"/>
          <w:rtl/>
        </w:rPr>
        <w:t xml:space="preserve">, </w:t>
      </w:r>
      <w:proofErr w:type="spellStart"/>
      <w:r w:rsidRPr="002E1293">
        <w:rPr>
          <w:rFonts w:ascii="FrankRuehl" w:hAnsi="FrankRuehl" w:cs="Guttman Vilna"/>
          <w:sz w:val="16"/>
          <w:szCs w:val="16"/>
          <w:rtl/>
        </w:rPr>
        <w:t>ויתבה</w:t>
      </w:r>
      <w:proofErr w:type="spellEnd"/>
      <w:r w:rsidRPr="002E1293">
        <w:rPr>
          <w:rFonts w:ascii="FrankRuehl" w:hAnsi="FrankRuehl" w:cs="Guttman Vilna"/>
          <w:sz w:val="16"/>
          <w:szCs w:val="16"/>
          <w:rtl/>
        </w:rPr>
        <w:t xml:space="preserve"> </w:t>
      </w:r>
      <w:proofErr w:type="spellStart"/>
      <w:r w:rsidRPr="002E1293">
        <w:rPr>
          <w:rFonts w:ascii="FrankRuehl" w:hAnsi="FrankRuehl" w:cs="Guttman Vilna"/>
          <w:sz w:val="16"/>
          <w:szCs w:val="16"/>
          <w:rtl/>
        </w:rPr>
        <w:t>אצבעתא</w:t>
      </w:r>
      <w:proofErr w:type="spellEnd"/>
      <w:r w:rsidRPr="002E1293">
        <w:rPr>
          <w:rFonts w:ascii="FrankRuehl" w:hAnsi="FrankRuehl" w:cs="Guttman Vilna"/>
          <w:sz w:val="16"/>
          <w:szCs w:val="16"/>
          <w:rtl/>
        </w:rPr>
        <w:t xml:space="preserve"> </w:t>
      </w:r>
      <w:proofErr w:type="spellStart"/>
      <w:r w:rsidRPr="002E1293">
        <w:rPr>
          <w:rFonts w:ascii="FrankRuehl" w:hAnsi="FrankRuehl" w:cs="Guttman Vilna"/>
          <w:sz w:val="16"/>
          <w:szCs w:val="16"/>
          <w:rtl/>
        </w:rPr>
        <w:t>דידיה</w:t>
      </w:r>
      <w:proofErr w:type="spellEnd"/>
      <w:r w:rsidRPr="002E1293">
        <w:rPr>
          <w:rFonts w:ascii="FrankRuehl" w:hAnsi="FrankRuehl" w:cs="Guttman Vilna"/>
          <w:sz w:val="16"/>
          <w:szCs w:val="16"/>
          <w:rtl/>
        </w:rPr>
        <w:t xml:space="preserve"> תותי </w:t>
      </w:r>
      <w:proofErr w:type="spellStart"/>
      <w:r w:rsidRPr="002E1293">
        <w:rPr>
          <w:rFonts w:ascii="FrankRuehl" w:hAnsi="FrankRuehl" w:cs="Guttman Vilna"/>
          <w:sz w:val="16"/>
          <w:szCs w:val="16"/>
          <w:rtl/>
        </w:rPr>
        <w:t>כרעא</w:t>
      </w:r>
      <w:proofErr w:type="spellEnd"/>
      <w:r w:rsidRPr="002E1293">
        <w:rPr>
          <w:rFonts w:ascii="FrankRuehl" w:hAnsi="FrankRuehl" w:cs="Guttman Vilna"/>
          <w:sz w:val="16"/>
          <w:szCs w:val="16"/>
          <w:rtl/>
        </w:rPr>
        <w:t xml:space="preserve">, </w:t>
      </w:r>
      <w:proofErr w:type="spellStart"/>
      <w:r w:rsidRPr="002E1293">
        <w:rPr>
          <w:rFonts w:ascii="FrankRuehl" w:hAnsi="FrankRuehl" w:cs="Guttman Vilna"/>
          <w:sz w:val="16"/>
          <w:szCs w:val="16"/>
          <w:rtl/>
        </w:rPr>
        <w:t>וקא</w:t>
      </w:r>
      <w:proofErr w:type="spellEnd"/>
      <w:r w:rsidRPr="002E1293">
        <w:rPr>
          <w:rFonts w:ascii="FrankRuehl" w:hAnsi="FrankRuehl" w:cs="Guttman Vilna"/>
          <w:sz w:val="16"/>
          <w:szCs w:val="16"/>
          <w:rtl/>
        </w:rPr>
        <w:t xml:space="preserve"> </w:t>
      </w:r>
      <w:proofErr w:type="spellStart"/>
      <w:r w:rsidRPr="002E1293">
        <w:rPr>
          <w:rFonts w:ascii="FrankRuehl" w:hAnsi="FrankRuehl" w:cs="Guttman Vilna"/>
          <w:sz w:val="16"/>
          <w:szCs w:val="16"/>
          <w:rtl/>
        </w:rPr>
        <w:t>מייץ</w:t>
      </w:r>
      <w:proofErr w:type="spellEnd"/>
      <w:r w:rsidRPr="002E1293">
        <w:rPr>
          <w:rFonts w:ascii="FrankRuehl" w:hAnsi="FrankRuehl" w:cs="Guttman Vilna"/>
          <w:sz w:val="16"/>
          <w:szCs w:val="16"/>
          <w:rtl/>
        </w:rPr>
        <w:t xml:space="preserve"> בהו, </w:t>
      </w:r>
      <w:proofErr w:type="spellStart"/>
      <w:r w:rsidRPr="002E1293">
        <w:rPr>
          <w:rFonts w:ascii="FrankRuehl" w:hAnsi="FrankRuehl" w:cs="Guttman Vilna"/>
          <w:sz w:val="16"/>
          <w:szCs w:val="16"/>
          <w:rtl/>
        </w:rPr>
        <w:t>וקא</w:t>
      </w:r>
      <w:proofErr w:type="spellEnd"/>
      <w:r w:rsidRPr="002E1293">
        <w:rPr>
          <w:rFonts w:ascii="FrankRuehl" w:hAnsi="FrankRuehl" w:cs="Guttman Vilna"/>
          <w:sz w:val="16"/>
          <w:szCs w:val="16"/>
          <w:rtl/>
        </w:rPr>
        <w:t xml:space="preserve"> מבען </w:t>
      </w:r>
      <w:proofErr w:type="spellStart"/>
      <w:r w:rsidRPr="002E1293">
        <w:rPr>
          <w:rFonts w:ascii="FrankRuehl" w:hAnsi="FrankRuehl" w:cs="Guttman Vilna"/>
          <w:sz w:val="16"/>
          <w:szCs w:val="16"/>
          <w:rtl/>
        </w:rPr>
        <w:t>אצבעתיה</w:t>
      </w:r>
      <w:proofErr w:type="spellEnd"/>
      <w:r w:rsidRPr="002E1293">
        <w:rPr>
          <w:rFonts w:ascii="FrankRuehl" w:hAnsi="FrankRuehl" w:cs="Guttman Vilna"/>
          <w:sz w:val="16"/>
          <w:szCs w:val="16"/>
          <w:rtl/>
        </w:rPr>
        <w:t xml:space="preserve"> </w:t>
      </w:r>
      <w:proofErr w:type="spellStart"/>
      <w:r w:rsidRPr="002E1293">
        <w:rPr>
          <w:rFonts w:ascii="FrankRuehl" w:hAnsi="FrankRuehl" w:cs="Guttman Vilna"/>
          <w:sz w:val="16"/>
          <w:szCs w:val="16"/>
          <w:rtl/>
        </w:rPr>
        <w:t>דמא</w:t>
      </w:r>
      <w:proofErr w:type="spellEnd"/>
      <w:r w:rsidRPr="002E1293">
        <w:rPr>
          <w:rFonts w:ascii="FrankRuehl" w:hAnsi="FrankRuehl" w:cs="Guttman Vilna"/>
          <w:sz w:val="16"/>
          <w:szCs w:val="16"/>
          <w:rtl/>
        </w:rPr>
        <w:t xml:space="preserve">, אמר ליה: עמא </w:t>
      </w:r>
      <w:proofErr w:type="spellStart"/>
      <w:r w:rsidRPr="002E1293">
        <w:rPr>
          <w:rFonts w:ascii="FrankRuehl" w:hAnsi="FrankRuehl" w:cs="Guttman Vilna"/>
          <w:sz w:val="16"/>
          <w:szCs w:val="16"/>
          <w:rtl/>
        </w:rPr>
        <w:t>פזיזא</w:t>
      </w:r>
      <w:proofErr w:type="spellEnd"/>
      <w:r w:rsidRPr="002E1293">
        <w:rPr>
          <w:rFonts w:ascii="FrankRuehl" w:hAnsi="FrankRuehl" w:cs="Guttman Vilna"/>
          <w:sz w:val="16"/>
          <w:szCs w:val="16"/>
          <w:rtl/>
        </w:rPr>
        <w:t xml:space="preserve"> </w:t>
      </w:r>
      <w:proofErr w:type="spellStart"/>
      <w:r w:rsidRPr="002E1293">
        <w:rPr>
          <w:rFonts w:ascii="FrankRuehl" w:hAnsi="FrankRuehl" w:cs="Guttman Vilna"/>
          <w:sz w:val="16"/>
          <w:szCs w:val="16"/>
          <w:rtl/>
        </w:rPr>
        <w:t>דקדמיתו</w:t>
      </w:r>
      <w:proofErr w:type="spellEnd"/>
      <w:r w:rsidRPr="002E1293">
        <w:rPr>
          <w:rFonts w:ascii="FrankRuehl" w:hAnsi="FrankRuehl" w:cs="Guttman Vilna"/>
          <w:sz w:val="16"/>
          <w:szCs w:val="16"/>
          <w:rtl/>
        </w:rPr>
        <w:t xml:space="preserve"> </w:t>
      </w:r>
      <w:proofErr w:type="spellStart"/>
      <w:r w:rsidRPr="002E1293">
        <w:rPr>
          <w:rFonts w:ascii="FrankRuehl" w:hAnsi="FrankRuehl" w:cs="Guttman Vilna"/>
          <w:sz w:val="16"/>
          <w:szCs w:val="16"/>
          <w:rtl/>
        </w:rPr>
        <w:t>פומייכו</w:t>
      </w:r>
      <w:proofErr w:type="spellEnd"/>
      <w:r w:rsidRPr="002E1293">
        <w:rPr>
          <w:rFonts w:ascii="FrankRuehl" w:hAnsi="FrankRuehl" w:cs="Guttman Vilna"/>
          <w:sz w:val="16"/>
          <w:szCs w:val="16"/>
          <w:rtl/>
        </w:rPr>
        <w:t xml:space="preserve"> </w:t>
      </w:r>
      <w:proofErr w:type="spellStart"/>
      <w:r w:rsidRPr="002E1293">
        <w:rPr>
          <w:rFonts w:ascii="FrankRuehl" w:hAnsi="FrankRuehl" w:cs="Guttman Vilna"/>
          <w:sz w:val="16"/>
          <w:szCs w:val="16"/>
          <w:rtl/>
        </w:rPr>
        <w:t>לאודנייכו</w:t>
      </w:r>
      <w:proofErr w:type="spellEnd"/>
      <w:r w:rsidRPr="002E1293">
        <w:rPr>
          <w:rFonts w:ascii="FrankRuehl" w:hAnsi="FrankRuehl" w:cs="Guttman Vilna"/>
          <w:sz w:val="16"/>
          <w:szCs w:val="16"/>
          <w:rtl/>
        </w:rPr>
        <w:t xml:space="preserve">, </w:t>
      </w:r>
      <w:proofErr w:type="spellStart"/>
      <w:r w:rsidRPr="002E1293">
        <w:rPr>
          <w:rFonts w:ascii="FrankRuehl" w:hAnsi="FrankRuehl" w:cs="Guttman Vilna"/>
          <w:sz w:val="16"/>
          <w:szCs w:val="16"/>
          <w:rtl/>
        </w:rPr>
        <w:t>אכתי</w:t>
      </w:r>
      <w:proofErr w:type="spellEnd"/>
      <w:r w:rsidRPr="002E1293">
        <w:rPr>
          <w:rFonts w:ascii="FrankRuehl" w:hAnsi="FrankRuehl" w:cs="Guttman Vilna"/>
          <w:sz w:val="16"/>
          <w:szCs w:val="16"/>
          <w:rtl/>
        </w:rPr>
        <w:t xml:space="preserve"> </w:t>
      </w:r>
      <w:proofErr w:type="spellStart"/>
      <w:r w:rsidRPr="002E1293">
        <w:rPr>
          <w:rFonts w:ascii="FrankRuehl" w:hAnsi="FrankRuehl" w:cs="Guttman Vilna"/>
          <w:sz w:val="16"/>
          <w:szCs w:val="16"/>
          <w:rtl/>
        </w:rPr>
        <w:t>בפחזותייכו</w:t>
      </w:r>
      <w:proofErr w:type="spellEnd"/>
      <w:r w:rsidRPr="002E1293">
        <w:rPr>
          <w:rFonts w:ascii="FrankRuehl" w:hAnsi="FrankRuehl" w:cs="Guttman Vilna"/>
          <w:sz w:val="16"/>
          <w:szCs w:val="16"/>
          <w:rtl/>
        </w:rPr>
        <w:t xml:space="preserve"> </w:t>
      </w:r>
      <w:proofErr w:type="spellStart"/>
      <w:r w:rsidRPr="002E1293">
        <w:rPr>
          <w:rFonts w:ascii="FrankRuehl" w:hAnsi="FrankRuehl" w:cs="Guttman Vilna"/>
          <w:sz w:val="16"/>
          <w:szCs w:val="16"/>
          <w:rtl/>
        </w:rPr>
        <w:t>קיימיתו</w:t>
      </w:r>
      <w:proofErr w:type="spellEnd"/>
      <w:r w:rsidRPr="002E1293">
        <w:rPr>
          <w:rFonts w:ascii="FrankRuehl" w:hAnsi="FrankRuehl" w:cs="Guttman Vilna"/>
          <w:sz w:val="16"/>
          <w:szCs w:val="16"/>
          <w:rtl/>
        </w:rPr>
        <w:t xml:space="preserve">! ברישא </w:t>
      </w:r>
      <w:proofErr w:type="spellStart"/>
      <w:r w:rsidRPr="002E1293">
        <w:rPr>
          <w:rFonts w:ascii="FrankRuehl" w:hAnsi="FrankRuehl" w:cs="Guttman Vilna"/>
          <w:sz w:val="16"/>
          <w:szCs w:val="16"/>
          <w:rtl/>
        </w:rPr>
        <w:t>איבעיא</w:t>
      </w:r>
      <w:proofErr w:type="spellEnd"/>
      <w:r w:rsidRPr="002E1293">
        <w:rPr>
          <w:rFonts w:ascii="FrankRuehl" w:hAnsi="FrankRuehl" w:cs="Guttman Vilna"/>
          <w:sz w:val="16"/>
          <w:szCs w:val="16"/>
          <w:rtl/>
        </w:rPr>
        <w:t xml:space="preserve"> לכו למשמע, אי מציתו - </w:t>
      </w:r>
      <w:proofErr w:type="spellStart"/>
      <w:r w:rsidRPr="002E1293">
        <w:rPr>
          <w:rFonts w:ascii="FrankRuehl" w:hAnsi="FrankRuehl" w:cs="Guttman Vilna"/>
          <w:sz w:val="16"/>
          <w:szCs w:val="16"/>
          <w:rtl/>
        </w:rPr>
        <w:t>קבליתו</w:t>
      </w:r>
      <w:proofErr w:type="spellEnd"/>
      <w:r w:rsidRPr="002E1293">
        <w:rPr>
          <w:rFonts w:ascii="FrankRuehl" w:hAnsi="FrankRuehl" w:cs="Guttman Vilna"/>
          <w:sz w:val="16"/>
          <w:szCs w:val="16"/>
          <w:rtl/>
        </w:rPr>
        <w:t xml:space="preserve">, ואי לא - לא </w:t>
      </w:r>
      <w:proofErr w:type="spellStart"/>
      <w:r w:rsidRPr="002E1293">
        <w:rPr>
          <w:rFonts w:ascii="FrankRuehl" w:hAnsi="FrankRuehl" w:cs="Guttman Vilna"/>
          <w:sz w:val="16"/>
          <w:szCs w:val="16"/>
          <w:rtl/>
        </w:rPr>
        <w:t>קבליתו</w:t>
      </w:r>
      <w:proofErr w:type="spellEnd"/>
      <w:r w:rsidRPr="002E1293">
        <w:rPr>
          <w:rFonts w:ascii="FrankRuehl" w:hAnsi="FrankRuehl" w:cs="Guttman Vilna"/>
          <w:sz w:val="16"/>
          <w:szCs w:val="16"/>
          <w:rtl/>
        </w:rPr>
        <w:t xml:space="preserve">. - אמר ליה: </w:t>
      </w:r>
      <w:proofErr w:type="spellStart"/>
      <w:r w:rsidRPr="002E1293">
        <w:rPr>
          <w:rFonts w:ascii="FrankRuehl" w:hAnsi="FrankRuehl" w:cs="Guttman Vilna"/>
          <w:sz w:val="16"/>
          <w:szCs w:val="16"/>
          <w:rtl/>
        </w:rPr>
        <w:t>אנן</w:t>
      </w:r>
      <w:proofErr w:type="spellEnd"/>
      <w:r w:rsidRPr="002E1293">
        <w:rPr>
          <w:rFonts w:ascii="FrankRuehl" w:hAnsi="FrankRuehl" w:cs="Guttman Vilna"/>
          <w:sz w:val="16"/>
          <w:szCs w:val="16"/>
          <w:rtl/>
        </w:rPr>
        <w:t xml:space="preserve"> </w:t>
      </w:r>
      <w:proofErr w:type="spellStart"/>
      <w:r w:rsidRPr="002E1293">
        <w:rPr>
          <w:rFonts w:ascii="FrankRuehl" w:hAnsi="FrankRuehl" w:cs="Guttman Vilna"/>
          <w:sz w:val="16"/>
          <w:szCs w:val="16"/>
          <w:rtl/>
        </w:rPr>
        <w:t>דסגינן</w:t>
      </w:r>
      <w:proofErr w:type="spellEnd"/>
      <w:r w:rsidRPr="002E1293">
        <w:rPr>
          <w:rFonts w:ascii="FrankRuehl" w:hAnsi="FrankRuehl" w:cs="Guttman Vilna"/>
          <w:sz w:val="16"/>
          <w:szCs w:val="16"/>
          <w:rtl/>
        </w:rPr>
        <w:t xml:space="preserve"> </w:t>
      </w:r>
      <w:proofErr w:type="spellStart"/>
      <w:r w:rsidRPr="002E1293">
        <w:rPr>
          <w:rFonts w:ascii="FrankRuehl" w:hAnsi="FrankRuehl" w:cs="Guttman Vilna"/>
          <w:sz w:val="16"/>
          <w:szCs w:val="16"/>
          <w:rtl/>
        </w:rPr>
        <w:t>בשלימותא</w:t>
      </w:r>
      <w:proofErr w:type="spellEnd"/>
      <w:r w:rsidRPr="002E1293">
        <w:rPr>
          <w:rFonts w:ascii="FrankRuehl" w:hAnsi="FrankRuehl" w:cs="Guttman Vilna"/>
          <w:sz w:val="16"/>
          <w:szCs w:val="16"/>
          <w:rtl/>
        </w:rPr>
        <w:t xml:space="preserve"> - כתיב בן </w:t>
      </w:r>
      <w:proofErr w:type="spellStart"/>
      <w:r w:rsidRPr="002E1293">
        <w:rPr>
          <w:rFonts w:ascii="FrankRuehl" w:hAnsi="FrankRuehl" w:cs="Guttman Vilna"/>
          <w:sz w:val="16"/>
          <w:szCs w:val="16"/>
          <w:rtl/>
        </w:rPr>
        <w:t>תמת</w:t>
      </w:r>
      <w:proofErr w:type="spellEnd"/>
      <w:r w:rsidRPr="002E1293">
        <w:rPr>
          <w:rFonts w:ascii="FrankRuehl" w:hAnsi="FrankRuehl" w:cs="Guttman Vilna"/>
          <w:sz w:val="16"/>
          <w:szCs w:val="16"/>
          <w:rtl/>
        </w:rPr>
        <w:t xml:space="preserve"> ישרים תנחם הנך </w:t>
      </w:r>
      <w:proofErr w:type="spellStart"/>
      <w:r w:rsidRPr="002E1293">
        <w:rPr>
          <w:rFonts w:ascii="FrankRuehl" w:hAnsi="FrankRuehl" w:cs="Guttman Vilna"/>
          <w:sz w:val="16"/>
          <w:szCs w:val="16"/>
          <w:rtl/>
        </w:rPr>
        <w:t>אינשי</w:t>
      </w:r>
      <w:proofErr w:type="spellEnd"/>
      <w:r w:rsidRPr="002E1293">
        <w:rPr>
          <w:rFonts w:ascii="FrankRuehl" w:hAnsi="FrankRuehl" w:cs="Guttman Vilna"/>
          <w:sz w:val="16"/>
          <w:szCs w:val="16"/>
          <w:rtl/>
        </w:rPr>
        <w:t xml:space="preserve"> </w:t>
      </w:r>
      <w:proofErr w:type="spellStart"/>
      <w:r w:rsidRPr="002E1293">
        <w:rPr>
          <w:rFonts w:ascii="FrankRuehl" w:hAnsi="FrankRuehl" w:cs="Guttman Vilna"/>
          <w:sz w:val="16"/>
          <w:szCs w:val="16"/>
          <w:rtl/>
        </w:rPr>
        <w:t>דסגן</w:t>
      </w:r>
      <w:proofErr w:type="spellEnd"/>
      <w:r w:rsidRPr="002E1293">
        <w:rPr>
          <w:rFonts w:ascii="FrankRuehl" w:hAnsi="FrankRuehl" w:cs="Guttman Vilna"/>
          <w:sz w:val="16"/>
          <w:szCs w:val="16"/>
          <w:rtl/>
        </w:rPr>
        <w:t xml:space="preserve"> </w:t>
      </w:r>
      <w:proofErr w:type="spellStart"/>
      <w:r w:rsidRPr="002E1293">
        <w:rPr>
          <w:rFonts w:ascii="FrankRuehl" w:hAnsi="FrankRuehl" w:cs="Guttman Vilna"/>
          <w:sz w:val="16"/>
          <w:szCs w:val="16"/>
          <w:rtl/>
        </w:rPr>
        <w:t>בעלילותא</w:t>
      </w:r>
      <w:proofErr w:type="spellEnd"/>
      <w:r w:rsidRPr="002E1293">
        <w:rPr>
          <w:rFonts w:ascii="FrankRuehl" w:hAnsi="FrankRuehl" w:cs="Guttman Vilna"/>
          <w:sz w:val="16"/>
          <w:szCs w:val="16"/>
          <w:rtl/>
        </w:rPr>
        <w:t xml:space="preserve"> - כתיב בהו וסלף בוגדים </w:t>
      </w:r>
      <w:proofErr w:type="spellStart"/>
      <w:r w:rsidRPr="002E1293">
        <w:rPr>
          <w:rFonts w:ascii="FrankRuehl" w:hAnsi="FrankRuehl" w:cs="Guttman Vilna"/>
          <w:sz w:val="16"/>
          <w:szCs w:val="16"/>
          <w:rtl/>
        </w:rPr>
        <w:t>ישדם</w:t>
      </w:r>
      <w:proofErr w:type="spellEnd"/>
      <w:r w:rsidRPr="002E1293">
        <w:rPr>
          <w:rFonts w:ascii="FrankRuehl" w:hAnsi="FrankRuehl" w:cs="Guttman Vilna"/>
          <w:sz w:val="16"/>
          <w:szCs w:val="16"/>
          <w:rtl/>
        </w:rPr>
        <w:t>.</w:t>
      </w:r>
    </w:p>
    <w:p w:rsidR="00430E5B" w:rsidRDefault="00430E5B" w:rsidP="00430E5B">
      <w:pPr>
        <w:ind w:firstLine="226"/>
        <w:rPr>
          <w:rFonts w:cs="David"/>
          <w:rtl/>
        </w:rPr>
      </w:pPr>
      <w:r>
        <w:rPr>
          <w:rFonts w:cs="David" w:hint="cs"/>
          <w:rtl/>
        </w:rPr>
        <w:t>המחזה אינו מעודד: היינו מצפים למצוא את רבא מהרהר, כשהוא מלטף את זקנו או חוכך בידיו. אבל רבא מגרד את רגלו עד זוב דם: עד כי כך שקוע הוא בתלמודו!</w:t>
      </w:r>
    </w:p>
    <w:p w:rsidR="00430E5B" w:rsidRDefault="00430E5B" w:rsidP="00430E5B">
      <w:pPr>
        <w:ind w:firstLine="226"/>
        <w:rPr>
          <w:rFonts w:cs="David"/>
          <w:rtl/>
        </w:rPr>
      </w:pPr>
      <w:r>
        <w:rPr>
          <w:rFonts w:cs="David" w:hint="cs"/>
          <w:rtl/>
        </w:rPr>
        <w:t>כבדרך מקרה, הגירוד עד זוב דם מבטא אולי את הדרך שבה חייבים לגרד את שכבות הטקסט כדי להגיע עד החיים הגנוזים בו. רבים מכם יחשבו בצדק שברגע זה עצמו אני מגרד את הטקסט כדי להקיז את דמו. אני מקבל את האתגר! אבל האם מעשה הקריאה שונה מן הלחץ הזה המופעל על הטקסט? אם היא מבוססת על אמון הקורא ביוצר, כופה הקריאה על המילים לגלות את הסוד שהזמן והמוסכמות כיסו מן הרגע שבו יצאו המילים לאור ההיסטוריה. צריך לגרד כדי להוריד את השכבה הזאת השוחקת אותן (54-55)</w:t>
      </w:r>
    </w:p>
    <w:p w:rsidR="00430E5B" w:rsidRDefault="00430E5B" w:rsidP="00430E5B">
      <w:pPr>
        <w:ind w:firstLine="226"/>
        <w:rPr>
          <w:rFonts w:cs="David"/>
          <w:rtl/>
        </w:rPr>
      </w:pPr>
      <w:r>
        <w:rPr>
          <w:rFonts w:cs="David" w:hint="cs"/>
          <w:rtl/>
        </w:rPr>
        <w:t xml:space="preserve">[...] הבנה החושפת את המבנה העמוק של הסובייקטיביות </w:t>
      </w:r>
      <w:r>
        <w:rPr>
          <w:rFonts w:cs="David"/>
          <w:rtl/>
        </w:rPr>
        <w:t>–</w:t>
      </w:r>
      <w:r>
        <w:rPr>
          <w:rFonts w:cs="David" w:hint="cs"/>
          <w:rtl/>
        </w:rPr>
        <w:t xml:space="preserve"> זו ה</w:t>
      </w:r>
      <w:r>
        <w:rPr>
          <w:rFonts w:cs="David" w:hint="cs"/>
          <w:b/>
          <w:bCs/>
          <w:rtl/>
        </w:rPr>
        <w:t>תמימות</w:t>
      </w:r>
      <w:r>
        <w:rPr>
          <w:rFonts w:cs="David" w:hint="cs"/>
          <w:rtl/>
        </w:rPr>
        <w:t xml:space="preserve"> המופיעה בסוף </w:t>
      </w:r>
      <w:proofErr w:type="spellStart"/>
      <w:r>
        <w:rPr>
          <w:rFonts w:cs="David" w:hint="cs"/>
          <w:rtl/>
        </w:rPr>
        <w:t>הסוגיא</w:t>
      </w:r>
      <w:proofErr w:type="spellEnd"/>
      <w:r>
        <w:rPr>
          <w:rFonts w:cs="David" w:hint="cs"/>
          <w:rtl/>
        </w:rPr>
        <w:t xml:space="preserve"> (50); התום משמש כאן כעקרון הכרה ולא כעיקרון התנהגות... הסובייקטיביות המתאימה לאמת היא זו שמקיימת אתה אמנה לפני הופעת האמת במושג מסוים (55)</w:t>
      </w:r>
    </w:p>
    <w:p w:rsidR="00430E5B" w:rsidRDefault="00430E5B" w:rsidP="00430E5B">
      <w:pPr>
        <w:ind w:firstLine="226"/>
        <w:rPr>
          <w:rFonts w:cs="David"/>
          <w:rtl/>
        </w:rPr>
      </w:pPr>
      <w:r>
        <w:rPr>
          <w:rFonts w:cs="David"/>
          <w:rtl/>
        </w:rPr>
        <w:t xml:space="preserve"> </w:t>
      </w:r>
    </w:p>
    <w:p w:rsidR="00430E5B" w:rsidRDefault="00430E5B" w:rsidP="00430E5B">
      <w:pPr>
        <w:ind w:firstLine="226"/>
        <w:rPr>
          <w:rFonts w:cs="David"/>
          <w:rtl/>
        </w:rPr>
      </w:pPr>
      <w:r>
        <w:rPr>
          <w:rFonts w:cs="David" w:hint="cs"/>
          <w:rtl/>
        </w:rPr>
        <w:t>ולאן מוליך התום הזה? ... אל קבלת ההתגלות. יחס כזה הוא בהכרח יחס לאישיות מסוימת, יחס לזולת. התורה ניתנת בהארת פנים. התגלות הזולת היא מיניה וביה אחריותי על הזולת; ראיית הזולת היא מלכתחילה התחייבות כלפיו...</w:t>
      </w:r>
    </w:p>
    <w:p w:rsidR="00430E5B" w:rsidRDefault="00430E5B" w:rsidP="00430E5B">
      <w:pPr>
        <w:ind w:firstLine="226"/>
        <w:rPr>
          <w:rFonts w:cs="David"/>
          <w:rtl/>
        </w:rPr>
      </w:pPr>
      <w:r>
        <w:rPr>
          <w:rFonts w:cs="David" w:hint="cs"/>
          <w:rtl/>
        </w:rPr>
        <w:t xml:space="preserve">השומע את הקול המדבר אליו, מקבל מיניה וביה התחייבות ביחס למי שמדבר אליו. המובנות אינה מתחילה עם הוודאות העצמית, עם התאמת העצמי עם עצמו, המעניקה לו ארכה ומוסר זמני כדי שיוכל לנסות את </w:t>
      </w:r>
      <w:proofErr w:type="spellStart"/>
      <w:r>
        <w:rPr>
          <w:rFonts w:cs="David" w:hint="cs"/>
          <w:rtl/>
        </w:rPr>
        <w:t>הכל</w:t>
      </w:r>
      <w:proofErr w:type="spellEnd"/>
      <w:r>
        <w:rPr>
          <w:rFonts w:cs="David" w:hint="cs"/>
          <w:rtl/>
        </w:rPr>
        <w:t xml:space="preserve"> ולהתפתות מן </w:t>
      </w:r>
      <w:proofErr w:type="spellStart"/>
      <w:r>
        <w:rPr>
          <w:rFonts w:cs="David" w:hint="cs"/>
          <w:rtl/>
        </w:rPr>
        <w:t>הכל</w:t>
      </w:r>
      <w:proofErr w:type="spellEnd"/>
      <w:r>
        <w:rPr>
          <w:rFonts w:cs="David" w:hint="cs"/>
          <w:rtl/>
        </w:rPr>
        <w:t xml:space="preserve"> (56)</w:t>
      </w:r>
    </w:p>
    <w:p w:rsidR="00430E5B" w:rsidRDefault="00430E5B" w:rsidP="00430E5B">
      <w:pPr>
        <w:ind w:firstLine="226"/>
        <w:rPr>
          <w:rFonts w:cs="David" w:hint="cs"/>
          <w:rtl/>
        </w:rPr>
      </w:pPr>
      <w:r>
        <w:rPr>
          <w:rFonts w:cs="David" w:hint="cs"/>
          <w:rtl/>
        </w:rPr>
        <w:t>הטוב אינו נותן למקבל אותו זמן להתעכב ולחקור. הדחיפות כאן... מעידה... על אחריות שאי אפשר לדחותה, מעבר לכל התחייבות. לא מן הנמנע שכאן מתחיל הערעור על ה"אני הנפרד לגמרי", המתיימר לשמור על סוד הסובייקטיביות (54)</w:t>
      </w:r>
    </w:p>
    <w:p w:rsidR="00430E5B" w:rsidRDefault="00430E5B" w:rsidP="00430E5B">
      <w:pPr>
        <w:ind w:firstLine="226"/>
        <w:rPr>
          <w:rFonts w:cs="David"/>
          <w:rtl/>
        </w:rPr>
      </w:pPr>
      <w:r>
        <w:rPr>
          <w:rFonts w:cs="David" w:hint="cs"/>
          <w:rtl/>
        </w:rPr>
        <w:t>אבל ה"נעשה" אינו מבטל את ה"נשמע". הנאמנות הקודמת לכל איננה תמימות: היא מסוגלת וחייבת להיות שיח וספר המעורר דיונים... תמימות שאיננה תמימה, יושרה בלי סכלות, יושרה מוחלטת שפירושה גם ביקורת עצמית מוחלטת... זו תנועה אל הזולת שאינה חוזרת אל נקודת מוצאה (56-57)</w:t>
      </w:r>
      <w:r>
        <w:rPr>
          <w:rFonts w:cs="David"/>
          <w:rtl/>
        </w:rPr>
        <w:t xml:space="preserve"> </w:t>
      </w:r>
    </w:p>
    <w:p w:rsidR="00430E5B" w:rsidRDefault="00430E5B" w:rsidP="00430E5B">
      <w:pPr>
        <w:ind w:firstLine="226"/>
        <w:rPr>
          <w:rFonts w:cs="David"/>
          <w:rtl/>
        </w:rPr>
      </w:pPr>
    </w:p>
    <w:p w:rsidR="00D57FFC" w:rsidRDefault="00D57FFC">
      <w:bookmarkStart w:id="0" w:name="_GoBack"/>
      <w:bookmarkEnd w:id="0"/>
    </w:p>
    <w:sectPr w:rsidR="00D57FFC" w:rsidSect="0000508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Guttman Vilna">
    <w:panose1 w:val="02010401010101010101"/>
    <w:charset w:val="B1"/>
    <w:family w:val="auto"/>
    <w:pitch w:val="variable"/>
    <w:sig w:usb0="00000801" w:usb1="4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E5B"/>
    <w:rsid w:val="00005086"/>
    <w:rsid w:val="00430E5B"/>
    <w:rsid w:val="00A428B4"/>
    <w:rsid w:val="00D57FF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05F48F-DA37-4C83-A61C-728FE97C5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30E5B"/>
    <w:pPr>
      <w:bidi/>
      <w:spacing w:after="0" w:line="360" w:lineRule="auto"/>
      <w:jc w:val="both"/>
    </w:pPr>
    <w:rPr>
      <w:rFonts w:ascii="Calibri" w:eastAsia="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1439</Words>
  <Characters>7198</Characters>
  <Application>Microsoft Office Word</Application>
  <DocSecurity>0</DocSecurity>
  <Lines>59</Lines>
  <Paragraphs>17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יוסי גמליאל</dc:creator>
  <cp:keywords/>
  <dc:description/>
  <cp:lastModifiedBy>יוסי גמליאל</cp:lastModifiedBy>
  <cp:revision>1</cp:revision>
  <dcterms:created xsi:type="dcterms:W3CDTF">2019-01-13T08:40:00Z</dcterms:created>
  <dcterms:modified xsi:type="dcterms:W3CDTF">2019-01-13T08:40:00Z</dcterms:modified>
</cp:coreProperties>
</file>