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197B" w:rsidRPr="003F3FA8" w:rsidRDefault="0033197B" w:rsidP="0033197B">
      <w:pPr>
        <w:ind w:firstLine="226"/>
        <w:rPr>
          <w:rFonts w:cs="David" w:hint="cs"/>
          <w:sz w:val="18"/>
          <w:szCs w:val="18"/>
          <w:rtl/>
        </w:rPr>
      </w:pPr>
      <w:bookmarkStart w:id="0" w:name="_GoBack"/>
      <w:bookmarkEnd w:id="0"/>
      <w:r w:rsidRPr="003F3FA8">
        <w:rPr>
          <w:rFonts w:cs="David" w:hint="cs"/>
          <w:sz w:val="18"/>
          <w:szCs w:val="18"/>
          <w:rtl/>
        </w:rPr>
        <w:t>בס"ד</w:t>
      </w:r>
    </w:p>
    <w:p w:rsidR="0033197B" w:rsidRPr="003F3FA8" w:rsidRDefault="0033197B" w:rsidP="0033197B">
      <w:pPr>
        <w:ind w:firstLine="226"/>
        <w:jc w:val="center"/>
        <w:rPr>
          <w:rFonts w:cs="David"/>
          <w:sz w:val="20"/>
          <w:szCs w:val="20"/>
          <w:rtl/>
        </w:rPr>
      </w:pPr>
      <w:r w:rsidRPr="003F3FA8">
        <w:rPr>
          <w:rFonts w:cs="David" w:hint="cs"/>
          <w:b/>
          <w:bCs/>
          <w:rtl/>
        </w:rPr>
        <w:t>חילון וביטול הכישוף</w:t>
      </w:r>
    </w:p>
    <w:p w:rsidR="0033197B" w:rsidRPr="003F3FA8" w:rsidRDefault="0033197B" w:rsidP="0033197B">
      <w:pPr>
        <w:ind w:firstLine="226"/>
        <w:rPr>
          <w:rFonts w:cs="David"/>
          <w:sz w:val="20"/>
          <w:szCs w:val="20"/>
          <w:rtl/>
        </w:rPr>
      </w:pPr>
    </w:p>
    <w:p w:rsidR="0033197B" w:rsidRPr="003F3FA8" w:rsidRDefault="0033197B" w:rsidP="0033197B">
      <w:pPr>
        <w:ind w:firstLine="226"/>
        <w:rPr>
          <w:rFonts w:cs="David"/>
          <w:sz w:val="20"/>
          <w:szCs w:val="20"/>
          <w:rtl/>
        </w:rPr>
      </w:pPr>
      <w:r w:rsidRPr="003F3FA8">
        <w:rPr>
          <w:rFonts w:cs="David" w:hint="cs"/>
          <w:sz w:val="20"/>
          <w:szCs w:val="20"/>
          <w:rtl/>
        </w:rPr>
        <w:t xml:space="preserve">לא הייתה לי כל אפשרות ללמוד את כל סוגיות התלמוד העוסקות ב"קודש". יתרה מזאת, לא נראה לי שקיים קשר בין </w:t>
      </w:r>
      <w:proofErr w:type="spellStart"/>
      <w:r w:rsidRPr="003F3FA8">
        <w:rPr>
          <w:rFonts w:cs="David" w:hint="cs"/>
          <w:sz w:val="20"/>
          <w:szCs w:val="20"/>
          <w:rtl/>
        </w:rPr>
        <w:t>הסוגיא</w:t>
      </w:r>
      <w:proofErr w:type="spellEnd"/>
      <w:r w:rsidRPr="003F3FA8">
        <w:rPr>
          <w:rFonts w:cs="David" w:hint="cs"/>
          <w:sz w:val="20"/>
          <w:szCs w:val="20"/>
          <w:rtl/>
        </w:rPr>
        <w:t xml:space="preserve"> שבחרתי לבין ה"קודש". </w:t>
      </w:r>
      <w:proofErr w:type="spellStart"/>
      <w:r w:rsidRPr="003F3FA8">
        <w:rPr>
          <w:rFonts w:cs="David" w:hint="cs"/>
          <w:sz w:val="20"/>
          <w:szCs w:val="20"/>
          <w:rtl/>
        </w:rPr>
        <w:t>סוגיא</w:t>
      </w:r>
      <w:proofErr w:type="spellEnd"/>
      <w:r w:rsidRPr="003F3FA8">
        <w:rPr>
          <w:rFonts w:cs="David" w:hint="cs"/>
          <w:sz w:val="20"/>
          <w:szCs w:val="20"/>
          <w:rtl/>
        </w:rPr>
        <w:t xml:space="preserve"> זו נראית גם מאוד מוזרה; ... אבקש מן האחרים לא להזדעזע... ואף על פי כן, כשעמלתי על הטקסט הזה, שהוא כמובן הטקסט התלמודי הטוב ביותר </w:t>
      </w:r>
      <w:r w:rsidRPr="003F3FA8">
        <w:rPr>
          <w:rFonts w:cs="David"/>
          <w:sz w:val="20"/>
          <w:szCs w:val="20"/>
          <w:rtl/>
        </w:rPr>
        <w:t>–</w:t>
      </w:r>
      <w:r w:rsidRPr="003F3FA8">
        <w:rPr>
          <w:rFonts w:cs="David" w:hint="cs"/>
          <w:sz w:val="20"/>
          <w:szCs w:val="20"/>
          <w:rtl/>
        </w:rPr>
        <w:t xml:space="preserve"> כמו כל טקסט שבו אנחנו עמלים </w:t>
      </w:r>
      <w:r w:rsidRPr="003F3FA8">
        <w:rPr>
          <w:rFonts w:cs="David"/>
          <w:sz w:val="20"/>
          <w:szCs w:val="20"/>
          <w:rtl/>
        </w:rPr>
        <w:t>–</w:t>
      </w:r>
      <w:r w:rsidRPr="003F3FA8">
        <w:rPr>
          <w:rFonts w:cs="David" w:hint="cs"/>
          <w:sz w:val="20"/>
          <w:szCs w:val="20"/>
          <w:rtl/>
        </w:rPr>
        <w:t xml:space="preserve"> הגעתי למסקנה שהוא יכול להתאים לנו מאוד (עמ' 175)</w:t>
      </w:r>
    </w:p>
    <w:p w:rsidR="0033197B" w:rsidRPr="003F3FA8" w:rsidRDefault="0033197B" w:rsidP="0033197B">
      <w:pPr>
        <w:ind w:firstLine="227"/>
        <w:rPr>
          <w:rFonts w:cs="David"/>
          <w:sz w:val="20"/>
          <w:szCs w:val="20"/>
          <w:rtl/>
        </w:rPr>
      </w:pPr>
    </w:p>
    <w:p w:rsidR="0033197B" w:rsidRPr="003F3FA8" w:rsidRDefault="0033197B" w:rsidP="0033197B">
      <w:pPr>
        <w:ind w:firstLine="227"/>
        <w:rPr>
          <w:rFonts w:cs="David"/>
          <w:b/>
          <w:bCs/>
          <w:rtl/>
        </w:rPr>
      </w:pPr>
      <w:r w:rsidRPr="003F3FA8">
        <w:rPr>
          <w:rFonts w:cs="David" w:hint="cs"/>
          <w:b/>
          <w:bCs/>
          <w:rtl/>
        </w:rPr>
        <w:t>אזור הדמדומים שבו פורח הכישוף</w:t>
      </w:r>
    </w:p>
    <w:p w:rsidR="0033197B" w:rsidRPr="003F3FA8" w:rsidRDefault="0033197B" w:rsidP="0033197B">
      <w:pPr>
        <w:ind w:firstLine="227"/>
        <w:rPr>
          <w:rFonts w:cs="David"/>
          <w:sz w:val="20"/>
          <w:szCs w:val="20"/>
          <w:rtl/>
        </w:rPr>
      </w:pPr>
      <w:r w:rsidRPr="003F3FA8">
        <w:rPr>
          <w:rFonts w:cs="David" w:hint="cs"/>
          <w:b/>
          <w:bCs/>
          <w:sz w:val="20"/>
          <w:szCs w:val="20"/>
          <w:rtl/>
        </w:rPr>
        <w:t xml:space="preserve">1. </w:t>
      </w:r>
      <w:r w:rsidRPr="003F3FA8">
        <w:rPr>
          <w:rFonts w:cs="David" w:hint="cs"/>
          <w:sz w:val="20"/>
          <w:szCs w:val="20"/>
          <w:rtl/>
        </w:rPr>
        <w:t xml:space="preserve">תמיד שאלתי את עצמי האם הקדושה, כלומר ההבדלה </w:t>
      </w:r>
      <w:r w:rsidRPr="003F3FA8">
        <w:rPr>
          <w:rFonts w:cs="David"/>
          <w:sz w:val="20"/>
          <w:szCs w:val="20"/>
          <w:rtl/>
        </w:rPr>
        <w:t>–</w:t>
      </w:r>
      <w:r w:rsidRPr="003F3FA8">
        <w:rPr>
          <w:rFonts w:cs="David" w:hint="cs"/>
          <w:sz w:val="20"/>
          <w:szCs w:val="20"/>
          <w:rtl/>
        </w:rPr>
        <w:t xml:space="preserve"> או הטהרה </w:t>
      </w:r>
      <w:r w:rsidRPr="003F3FA8">
        <w:rPr>
          <w:rFonts w:cs="David"/>
          <w:sz w:val="20"/>
          <w:szCs w:val="20"/>
          <w:rtl/>
        </w:rPr>
        <w:t>–</w:t>
      </w:r>
      <w:r w:rsidRPr="003F3FA8">
        <w:rPr>
          <w:rFonts w:cs="David" w:hint="cs"/>
          <w:sz w:val="20"/>
          <w:szCs w:val="20"/>
          <w:rtl/>
        </w:rPr>
        <w:t xml:space="preserve"> אותה מהות פשוטה הנקראת בשם הרוח והמחייה את היהדות (או שאליה היהדות שואפת), יכול לשכון בעולם שטרם חולן... האם העולם כבר הגיע למידה של חילון שתאפשר לו לקבל טהרה זו. </w:t>
      </w:r>
    </w:p>
    <w:p w:rsidR="0033197B" w:rsidRPr="003F3FA8" w:rsidRDefault="0033197B" w:rsidP="0033197B">
      <w:pPr>
        <w:ind w:firstLine="227"/>
        <w:rPr>
          <w:rFonts w:cs="David"/>
          <w:sz w:val="20"/>
          <w:szCs w:val="20"/>
          <w:rtl/>
        </w:rPr>
      </w:pPr>
      <w:r w:rsidRPr="003F3FA8">
        <w:rPr>
          <w:rFonts w:cs="David"/>
          <w:sz w:val="20"/>
          <w:szCs w:val="20"/>
          <w:rtl/>
        </w:rPr>
        <w:t>ה</w:t>
      </w:r>
      <w:r w:rsidRPr="003F3FA8">
        <w:rPr>
          <w:rFonts w:cs="David" w:hint="cs"/>
          <w:sz w:val="20"/>
          <w:szCs w:val="20"/>
          <w:rtl/>
        </w:rPr>
        <w:t>"</w:t>
      </w:r>
      <w:r w:rsidRPr="003F3FA8">
        <w:rPr>
          <w:rFonts w:cs="David"/>
          <w:sz w:val="20"/>
          <w:szCs w:val="20"/>
          <w:rtl/>
        </w:rPr>
        <w:t>קודש</w:t>
      </w:r>
      <w:r w:rsidRPr="003F3FA8">
        <w:rPr>
          <w:rFonts w:cs="David" w:hint="cs"/>
          <w:sz w:val="20"/>
          <w:szCs w:val="20"/>
          <w:rtl/>
        </w:rPr>
        <w:t>"</w:t>
      </w:r>
      <w:r w:rsidRPr="003F3FA8">
        <w:rPr>
          <w:rFonts w:cs="David"/>
          <w:sz w:val="20"/>
          <w:szCs w:val="20"/>
          <w:rtl/>
        </w:rPr>
        <w:t xml:space="preserve"> הוא אזור הדמדומים שבו פורח הכישוף, המעורר ביהדות פלצות.</w:t>
      </w:r>
      <w:r w:rsidRPr="003F3FA8">
        <w:rPr>
          <w:rFonts w:cs="David" w:hint="cs"/>
          <w:sz w:val="20"/>
          <w:szCs w:val="20"/>
          <w:rtl/>
        </w:rPr>
        <w:t xml:space="preserve"> ה"סטרא אחרא", הצד האחר של המציאות, האין הלובש את פני המסתורין... ה"קודש" המתהדר בהילת ההילות </w:t>
      </w:r>
      <w:r w:rsidRPr="003F3FA8">
        <w:rPr>
          <w:rFonts w:cs="David"/>
          <w:sz w:val="20"/>
          <w:szCs w:val="20"/>
          <w:rtl/>
        </w:rPr>
        <w:t>– אין חלקה של ההתגלות עם הסודות המכוערים האלה.</w:t>
      </w:r>
      <w:r w:rsidRPr="003F3FA8">
        <w:rPr>
          <w:rFonts w:cs="David" w:hint="cs"/>
          <w:sz w:val="20"/>
          <w:szCs w:val="20"/>
          <w:rtl/>
        </w:rPr>
        <w:t xml:space="preserve"> דפים </w:t>
      </w:r>
      <w:proofErr w:type="spellStart"/>
      <w:r w:rsidRPr="003F3FA8">
        <w:rPr>
          <w:rFonts w:cs="David" w:hint="cs"/>
          <w:sz w:val="20"/>
          <w:szCs w:val="20"/>
          <w:rtl/>
        </w:rPr>
        <w:t>סז</w:t>
      </w:r>
      <w:proofErr w:type="spellEnd"/>
      <w:r w:rsidRPr="003F3FA8">
        <w:rPr>
          <w:rFonts w:cs="David" w:hint="cs"/>
          <w:sz w:val="20"/>
          <w:szCs w:val="20"/>
          <w:rtl/>
        </w:rPr>
        <w:t xml:space="preserve">-סח במסכת סנהדרין מעידים על ההתנגדות הזאת... [רק] </w:t>
      </w:r>
      <w:r w:rsidRPr="003F3FA8">
        <w:rPr>
          <w:rFonts w:cs="David"/>
          <w:sz w:val="20"/>
          <w:szCs w:val="20"/>
          <w:rtl/>
        </w:rPr>
        <w:t xml:space="preserve">החברה שעברה תהליך </w:t>
      </w:r>
      <w:proofErr w:type="spellStart"/>
      <w:r w:rsidRPr="003F3FA8">
        <w:rPr>
          <w:rFonts w:cs="David"/>
          <w:sz w:val="20"/>
          <w:szCs w:val="20"/>
          <w:rtl/>
        </w:rPr>
        <w:t>אמיתי</w:t>
      </w:r>
      <w:proofErr w:type="spellEnd"/>
      <w:r w:rsidRPr="003F3FA8">
        <w:rPr>
          <w:rFonts w:cs="David"/>
          <w:sz w:val="20"/>
          <w:szCs w:val="20"/>
          <w:rtl/>
        </w:rPr>
        <w:t xml:space="preserve"> של חילון היא החברה ששמה קץ לאותו מחול טמא של הכישוף</w:t>
      </w:r>
      <w:r w:rsidRPr="003F3FA8">
        <w:rPr>
          <w:rFonts w:cs="David" w:hint="cs"/>
          <w:sz w:val="20"/>
          <w:szCs w:val="20"/>
          <w:rtl/>
        </w:rPr>
        <w:t xml:space="preserve">... החברה שעברה תהליך </w:t>
      </w:r>
      <w:proofErr w:type="spellStart"/>
      <w:r w:rsidRPr="003F3FA8">
        <w:rPr>
          <w:rFonts w:cs="David" w:hint="cs"/>
          <w:sz w:val="20"/>
          <w:szCs w:val="20"/>
          <w:rtl/>
        </w:rPr>
        <w:t>אמיתי</w:t>
      </w:r>
      <w:proofErr w:type="spellEnd"/>
      <w:r w:rsidRPr="003F3FA8">
        <w:rPr>
          <w:rFonts w:cs="David" w:hint="cs"/>
          <w:sz w:val="20"/>
          <w:szCs w:val="20"/>
          <w:rtl/>
        </w:rPr>
        <w:t xml:space="preserve"> של חילון, היא החברה ששמה קץ לאותו מחול טמא של הכישוף, המתפשט בכל מקום, המחייה את ה"קודש" במקום להינזר ממנו. החילון </w:t>
      </w:r>
      <w:proofErr w:type="spellStart"/>
      <w:r w:rsidRPr="003F3FA8">
        <w:rPr>
          <w:rFonts w:cs="David" w:hint="cs"/>
          <w:sz w:val="20"/>
          <w:szCs w:val="20"/>
          <w:rtl/>
        </w:rPr>
        <w:t>האמיתי</w:t>
      </w:r>
      <w:proofErr w:type="spellEnd"/>
      <w:r w:rsidRPr="003F3FA8">
        <w:rPr>
          <w:rFonts w:cs="David" w:hint="cs"/>
          <w:sz w:val="20"/>
          <w:szCs w:val="20"/>
          <w:rtl/>
        </w:rPr>
        <w:t xml:space="preserve"> ינסה להבדיל באופן חיובי בין האמת לבין מראית העין, ואולי גם להבדיל בין מהאמת לבין אותה מראית העין המתערבת באופן מהותי באמת </w:t>
      </w:r>
      <w:r w:rsidRPr="003F3FA8">
        <w:rPr>
          <w:rFonts w:cs="David"/>
          <w:sz w:val="20"/>
          <w:szCs w:val="20"/>
          <w:rtl/>
        </w:rPr>
        <w:t xml:space="preserve"> (175-6</w:t>
      </w:r>
      <w:r w:rsidRPr="003F3FA8">
        <w:rPr>
          <w:rFonts w:cs="David" w:hint="cs"/>
          <w:sz w:val="20"/>
          <w:szCs w:val="20"/>
          <w:rtl/>
        </w:rPr>
        <w:t>)</w:t>
      </w:r>
    </w:p>
    <w:p w:rsidR="0033197B" w:rsidRPr="003F3FA8" w:rsidRDefault="0033197B" w:rsidP="0033197B">
      <w:pPr>
        <w:ind w:firstLine="226"/>
        <w:rPr>
          <w:rFonts w:cs="David"/>
          <w:sz w:val="20"/>
          <w:szCs w:val="20"/>
          <w:rtl/>
        </w:rPr>
      </w:pPr>
    </w:p>
    <w:p w:rsidR="0033197B" w:rsidRPr="003F3FA8" w:rsidRDefault="0033197B" w:rsidP="0033197B">
      <w:pPr>
        <w:ind w:firstLine="226"/>
        <w:rPr>
          <w:rFonts w:cs="David"/>
          <w:sz w:val="20"/>
          <w:szCs w:val="20"/>
          <w:rtl/>
        </w:rPr>
      </w:pPr>
      <w:r w:rsidRPr="003F3FA8">
        <w:rPr>
          <w:rFonts w:cs="David" w:hint="cs"/>
          <w:b/>
          <w:bCs/>
          <w:sz w:val="20"/>
          <w:szCs w:val="20"/>
          <w:rtl/>
        </w:rPr>
        <w:t xml:space="preserve">2. </w:t>
      </w:r>
      <w:r w:rsidRPr="003F3FA8">
        <w:rPr>
          <w:rFonts w:cs="David"/>
          <w:sz w:val="20"/>
          <w:szCs w:val="20"/>
          <w:rtl/>
        </w:rPr>
        <w:t xml:space="preserve">מתעוררת כאן בעיה פילוסופית: כיצד ניוון כזה אפשרי? מה גרם לטשטוש בין הקדושה לקודש ובין הקודש לכישוף? כיצד הפך הקודש לכישוף ולשליטה על בני האדם?... </w:t>
      </w:r>
      <w:r w:rsidRPr="003F3FA8">
        <w:rPr>
          <w:rFonts w:cs="David" w:hint="cs"/>
          <w:sz w:val="20"/>
          <w:szCs w:val="20"/>
          <w:rtl/>
        </w:rPr>
        <w:t>"</w:t>
      </w:r>
      <w:proofErr w:type="spellStart"/>
      <w:r w:rsidRPr="003F3FA8">
        <w:rPr>
          <w:rFonts w:cs="David" w:hint="cs"/>
          <w:sz w:val="20"/>
          <w:szCs w:val="20"/>
          <w:rtl/>
        </w:rPr>
        <w:t>מכחישין</w:t>
      </w:r>
      <w:proofErr w:type="spellEnd"/>
      <w:r w:rsidRPr="003F3FA8">
        <w:rPr>
          <w:rFonts w:cs="David" w:hint="cs"/>
          <w:sz w:val="20"/>
          <w:szCs w:val="20"/>
          <w:rtl/>
        </w:rPr>
        <w:t xml:space="preserve"> </w:t>
      </w:r>
      <w:proofErr w:type="spellStart"/>
      <w:r w:rsidRPr="003F3FA8">
        <w:rPr>
          <w:rFonts w:cs="David" w:hint="cs"/>
          <w:sz w:val="20"/>
          <w:szCs w:val="20"/>
          <w:rtl/>
        </w:rPr>
        <w:t>פמליא</w:t>
      </w:r>
      <w:proofErr w:type="spellEnd"/>
      <w:r w:rsidRPr="003F3FA8">
        <w:rPr>
          <w:rFonts w:cs="David" w:hint="cs"/>
          <w:sz w:val="20"/>
          <w:szCs w:val="20"/>
          <w:rtl/>
        </w:rPr>
        <w:t xml:space="preserve"> של מעלה": משמעות הכישוף היא ערעור על הסדר העליון, ערעור על המוחלט. זה ה"לא" השטני שאומר המכשף לסדר העליון... מניין בא ה"לא" הזה אל תוך ה"כן" של המוחלט? [הרי] אין שום דבר מעבר למוחלט שיכול להתנגד לו! איך עלה על הדעת הרעיון התמוה של קודש המתנוון? </w:t>
      </w:r>
      <w:r w:rsidRPr="003F3FA8">
        <w:rPr>
          <w:rFonts w:cs="David"/>
          <w:sz w:val="20"/>
          <w:szCs w:val="20"/>
          <w:rtl/>
        </w:rPr>
        <w:t xml:space="preserve">אם הוא הגיע לידי כך, סימן שלא היה אף פעם המוחלט, אלא חיקויו! כיצד התרחקה הנוכחות העליונה מעצמה?... </w:t>
      </w:r>
    </w:p>
    <w:p w:rsidR="0033197B" w:rsidRPr="003F3FA8" w:rsidRDefault="0033197B" w:rsidP="0033197B">
      <w:pPr>
        <w:ind w:firstLine="226"/>
        <w:rPr>
          <w:rFonts w:cs="David"/>
          <w:b/>
          <w:bCs/>
          <w:sz w:val="20"/>
          <w:szCs w:val="20"/>
          <w:rtl/>
        </w:rPr>
      </w:pPr>
      <w:r w:rsidRPr="003F3FA8">
        <w:rPr>
          <w:rFonts w:cs="David"/>
          <w:sz w:val="20"/>
          <w:szCs w:val="20"/>
          <w:rtl/>
        </w:rPr>
        <w:t xml:space="preserve">עבור כל איש או כל תרבות שהגיעו לקודש </w:t>
      </w:r>
      <w:proofErr w:type="spellStart"/>
      <w:r w:rsidRPr="003F3FA8">
        <w:rPr>
          <w:rFonts w:cs="David"/>
          <w:sz w:val="20"/>
          <w:szCs w:val="20"/>
          <w:rtl/>
        </w:rPr>
        <w:t>האמיתי</w:t>
      </w:r>
      <w:proofErr w:type="spellEnd"/>
      <w:r w:rsidRPr="003F3FA8">
        <w:rPr>
          <w:rFonts w:cs="David"/>
          <w:sz w:val="20"/>
          <w:szCs w:val="20"/>
          <w:rtl/>
        </w:rPr>
        <w:t>, לקדושה, או לשירות העליון – אין בכישוף ממש, הוא לא מאיים עליהם, הוא לא מפתה אותם</w:t>
      </w:r>
      <w:r w:rsidRPr="003F3FA8">
        <w:rPr>
          <w:rFonts w:cs="David" w:hint="cs"/>
          <w:sz w:val="20"/>
          <w:szCs w:val="20"/>
          <w:rtl/>
        </w:rPr>
        <w:t xml:space="preserve">. זו בדיוק עמדתו של ר' </w:t>
      </w:r>
      <w:proofErr w:type="spellStart"/>
      <w:r w:rsidRPr="003F3FA8">
        <w:rPr>
          <w:rFonts w:cs="David" w:hint="cs"/>
          <w:sz w:val="20"/>
          <w:szCs w:val="20"/>
          <w:rtl/>
        </w:rPr>
        <w:t>חנינא</w:t>
      </w:r>
      <w:proofErr w:type="spellEnd"/>
      <w:r w:rsidRPr="003F3FA8">
        <w:rPr>
          <w:rFonts w:cs="David" w:hint="cs"/>
          <w:sz w:val="20"/>
          <w:szCs w:val="20"/>
          <w:rtl/>
        </w:rPr>
        <w:t xml:space="preserve"> (181-2)</w:t>
      </w:r>
    </w:p>
    <w:p w:rsidR="0033197B" w:rsidRPr="003F3FA8" w:rsidRDefault="0033197B" w:rsidP="0033197B">
      <w:pPr>
        <w:ind w:firstLine="227"/>
        <w:rPr>
          <w:rFonts w:cs="David"/>
          <w:sz w:val="20"/>
          <w:szCs w:val="20"/>
          <w:rtl/>
        </w:rPr>
      </w:pPr>
    </w:p>
    <w:p w:rsidR="0033197B" w:rsidRPr="003F3FA8" w:rsidRDefault="0033197B" w:rsidP="0033197B">
      <w:pPr>
        <w:ind w:firstLine="227"/>
        <w:rPr>
          <w:rFonts w:cs="David"/>
          <w:sz w:val="20"/>
          <w:szCs w:val="20"/>
          <w:rtl/>
        </w:rPr>
      </w:pPr>
      <w:r w:rsidRPr="003F3FA8">
        <w:rPr>
          <w:rFonts w:cs="David" w:hint="cs"/>
          <w:b/>
          <w:bCs/>
          <w:sz w:val="20"/>
          <w:szCs w:val="20"/>
          <w:rtl/>
        </w:rPr>
        <w:t xml:space="preserve">3. </w:t>
      </w:r>
      <w:r w:rsidRPr="003F3FA8">
        <w:rPr>
          <w:rFonts w:cs="David" w:hint="cs"/>
          <w:sz w:val="20"/>
          <w:szCs w:val="20"/>
          <w:rtl/>
        </w:rPr>
        <w:t xml:space="preserve">"רוב נשים מצויות בכשפים": כל הדואג לכבודה של </w:t>
      </w:r>
      <w:proofErr w:type="spellStart"/>
      <w:r w:rsidRPr="003F3FA8">
        <w:rPr>
          <w:rFonts w:cs="David" w:hint="cs"/>
          <w:sz w:val="20"/>
          <w:szCs w:val="20"/>
          <w:rtl/>
        </w:rPr>
        <w:t>האשה</w:t>
      </w:r>
      <w:proofErr w:type="spellEnd"/>
      <w:r w:rsidRPr="003F3FA8">
        <w:rPr>
          <w:rFonts w:cs="David" w:hint="cs"/>
          <w:sz w:val="20"/>
          <w:szCs w:val="20"/>
          <w:rtl/>
        </w:rPr>
        <w:t xml:space="preserve"> יכול להירגע...</w:t>
      </w:r>
      <w:r w:rsidRPr="003F3FA8">
        <w:rPr>
          <w:rFonts w:cs="David"/>
          <w:sz w:val="20"/>
          <w:szCs w:val="20"/>
          <w:rtl/>
        </w:rPr>
        <w:t xml:space="preserve"> </w:t>
      </w:r>
      <w:r w:rsidRPr="003F3FA8">
        <w:rPr>
          <w:rFonts w:cs="David" w:hint="cs"/>
          <w:sz w:val="20"/>
          <w:szCs w:val="20"/>
          <w:rtl/>
        </w:rPr>
        <w:t xml:space="preserve">ואף על פי כן, </w:t>
      </w:r>
      <w:r w:rsidRPr="003F3FA8">
        <w:rPr>
          <w:rFonts w:cs="David"/>
          <w:sz w:val="20"/>
          <w:szCs w:val="20"/>
          <w:rtl/>
        </w:rPr>
        <w:t>בכל מקום שהגברים מנהלים את החברה</w:t>
      </w:r>
      <w:r w:rsidRPr="003F3FA8">
        <w:rPr>
          <w:rFonts w:cs="David" w:hint="cs"/>
          <w:sz w:val="20"/>
          <w:szCs w:val="20"/>
          <w:rtl/>
        </w:rPr>
        <w:t>,</w:t>
      </w:r>
      <w:r w:rsidRPr="003F3FA8">
        <w:rPr>
          <w:rFonts w:cs="David"/>
          <w:sz w:val="20"/>
          <w:szCs w:val="20"/>
          <w:rtl/>
        </w:rPr>
        <w:t xml:space="preserve"> מתלווה לאנושיותה של </w:t>
      </w:r>
      <w:proofErr w:type="spellStart"/>
      <w:r w:rsidRPr="003F3FA8">
        <w:rPr>
          <w:rFonts w:cs="David"/>
          <w:sz w:val="20"/>
          <w:szCs w:val="20"/>
          <w:rtl/>
        </w:rPr>
        <w:t>האשה</w:t>
      </w:r>
      <w:proofErr w:type="spellEnd"/>
      <w:r w:rsidRPr="003F3FA8">
        <w:rPr>
          <w:rFonts w:cs="David"/>
          <w:sz w:val="20"/>
          <w:szCs w:val="20"/>
          <w:rtl/>
        </w:rPr>
        <w:t xml:space="preserve"> מעין משמעות כפולה, כשהיא רומזת במיוחד למיניות </w:t>
      </w:r>
      <w:proofErr w:type="spellStart"/>
      <w:r w:rsidRPr="003F3FA8">
        <w:rPr>
          <w:rFonts w:cs="David"/>
          <w:sz w:val="20"/>
          <w:szCs w:val="20"/>
          <w:rtl/>
        </w:rPr>
        <w:t>ולאירוטיות</w:t>
      </w:r>
      <w:proofErr w:type="spellEnd"/>
      <w:r w:rsidRPr="003F3FA8">
        <w:rPr>
          <w:rFonts w:cs="David"/>
          <w:sz w:val="20"/>
          <w:szCs w:val="20"/>
          <w:rtl/>
        </w:rPr>
        <w:t>, היא מכפילה את אנושיותה ב</w:t>
      </w:r>
      <w:r w:rsidRPr="003F3FA8">
        <w:rPr>
          <w:rFonts w:cs="David" w:hint="cs"/>
          <w:sz w:val="20"/>
          <w:szCs w:val="20"/>
          <w:rtl/>
        </w:rPr>
        <w:t>ד</w:t>
      </w:r>
      <w:r w:rsidRPr="003F3FA8">
        <w:rPr>
          <w:rFonts w:cs="David"/>
          <w:sz w:val="20"/>
          <w:szCs w:val="20"/>
          <w:rtl/>
        </w:rPr>
        <w:t>ו</w:t>
      </w:r>
      <w:r w:rsidRPr="003F3FA8">
        <w:rPr>
          <w:rFonts w:cs="David" w:hint="cs"/>
          <w:sz w:val="20"/>
          <w:szCs w:val="20"/>
          <w:rtl/>
        </w:rPr>
        <w:t>-</w:t>
      </w:r>
      <w:r w:rsidRPr="003F3FA8">
        <w:rPr>
          <w:rFonts w:cs="David"/>
          <w:sz w:val="20"/>
          <w:szCs w:val="20"/>
          <w:rtl/>
        </w:rPr>
        <w:t>משמעות</w:t>
      </w:r>
      <w:r w:rsidRPr="003F3FA8">
        <w:rPr>
          <w:rFonts w:cs="David" w:hint="cs"/>
          <w:sz w:val="20"/>
          <w:szCs w:val="20"/>
          <w:rtl/>
        </w:rPr>
        <w:t xml:space="preserve"> או בחידה של נשגבות ועומק, של צניעות וזימה.... בחברתנו, ככל </w:t>
      </w:r>
      <w:proofErr w:type="spellStart"/>
      <w:r w:rsidRPr="003F3FA8">
        <w:rPr>
          <w:rFonts w:cs="David" w:hint="cs"/>
          <w:sz w:val="20"/>
          <w:szCs w:val="20"/>
          <w:rtl/>
        </w:rPr>
        <w:t>שהאשה</w:t>
      </w:r>
      <w:proofErr w:type="spellEnd"/>
      <w:r w:rsidRPr="003F3FA8">
        <w:rPr>
          <w:rFonts w:cs="David" w:hint="cs"/>
          <w:sz w:val="20"/>
          <w:szCs w:val="20"/>
          <w:rtl/>
        </w:rPr>
        <w:t xml:space="preserve"> משוחררת, היא עדיין מאופרת</w:t>
      </w:r>
      <w:r w:rsidRPr="003F3FA8">
        <w:rPr>
          <w:rFonts w:cs="David"/>
          <w:sz w:val="20"/>
          <w:szCs w:val="20"/>
          <w:rtl/>
        </w:rPr>
        <w:t>...</w:t>
      </w:r>
      <w:r w:rsidRPr="003F3FA8">
        <w:rPr>
          <w:rFonts w:cs="David" w:hint="cs"/>
          <w:sz w:val="20"/>
          <w:szCs w:val="20"/>
          <w:rtl/>
        </w:rPr>
        <w:t xml:space="preserve"> האשליה שותפה למציאות, ויחד </w:t>
      </w:r>
      <w:proofErr w:type="spellStart"/>
      <w:r w:rsidRPr="003F3FA8">
        <w:rPr>
          <w:rFonts w:cs="David" w:hint="cs"/>
          <w:sz w:val="20"/>
          <w:szCs w:val="20"/>
          <w:rtl/>
        </w:rPr>
        <w:t>איתה</w:t>
      </w:r>
      <w:proofErr w:type="spellEnd"/>
      <w:r w:rsidRPr="003F3FA8">
        <w:rPr>
          <w:rFonts w:cs="David" w:hint="cs"/>
          <w:sz w:val="20"/>
          <w:szCs w:val="20"/>
          <w:rtl/>
        </w:rPr>
        <w:t xml:space="preserve"> המליצה, ולשון סגי-נהור, והיא לוקחת אותנו שבי בקסמיה. </w:t>
      </w:r>
      <w:r w:rsidRPr="003F3FA8">
        <w:rPr>
          <w:rFonts w:cs="David"/>
          <w:sz w:val="20"/>
          <w:szCs w:val="20"/>
          <w:rtl/>
        </w:rPr>
        <w:t xml:space="preserve"> </w:t>
      </w:r>
    </w:p>
    <w:p w:rsidR="0033197B" w:rsidRPr="003F3FA8" w:rsidRDefault="0033197B" w:rsidP="0033197B">
      <w:pPr>
        <w:ind w:firstLine="227"/>
        <w:rPr>
          <w:rFonts w:cs="David"/>
          <w:sz w:val="20"/>
          <w:szCs w:val="20"/>
          <w:rtl/>
        </w:rPr>
      </w:pPr>
      <w:r w:rsidRPr="003F3FA8">
        <w:rPr>
          <w:rFonts w:cs="David"/>
          <w:sz w:val="20"/>
          <w:szCs w:val="20"/>
          <w:rtl/>
        </w:rPr>
        <w:t xml:space="preserve">אולי הקסם הוא </w:t>
      </w:r>
      <w:r w:rsidRPr="003F3FA8">
        <w:rPr>
          <w:rFonts w:cs="David" w:hint="cs"/>
          <w:sz w:val="20"/>
          <w:szCs w:val="20"/>
          <w:rtl/>
        </w:rPr>
        <w:t>[בעצם] שינוי הדרגתי של המשמעות,</w:t>
      </w:r>
      <w:r w:rsidRPr="003F3FA8">
        <w:rPr>
          <w:rFonts w:cs="David"/>
          <w:sz w:val="20"/>
          <w:szCs w:val="20"/>
          <w:rtl/>
        </w:rPr>
        <w:t xml:space="preserve"> לידתה של דו משמעות... החן הנסוך על הפנים כבר הופך לחיו</w:t>
      </w:r>
      <w:r w:rsidRPr="003F3FA8">
        <w:rPr>
          <w:rFonts w:cs="David" w:hint="cs"/>
          <w:sz w:val="20"/>
          <w:szCs w:val="20"/>
          <w:rtl/>
        </w:rPr>
        <w:t>ך</w:t>
      </w:r>
      <w:r w:rsidRPr="003F3FA8">
        <w:rPr>
          <w:rFonts w:cs="David"/>
          <w:sz w:val="20"/>
          <w:szCs w:val="20"/>
          <w:rtl/>
        </w:rPr>
        <w:t xml:space="preserve"> הנלעג של המכשפות המסתתרות במאורותיהן במקבת או </w:t>
      </w:r>
      <w:proofErr w:type="spellStart"/>
      <w:r w:rsidRPr="003F3FA8">
        <w:rPr>
          <w:rFonts w:cs="David"/>
          <w:sz w:val="20"/>
          <w:szCs w:val="20"/>
          <w:rtl/>
        </w:rPr>
        <w:t>בפאוסט</w:t>
      </w:r>
      <w:proofErr w:type="spellEnd"/>
      <w:r w:rsidRPr="003F3FA8">
        <w:rPr>
          <w:rFonts w:cs="David" w:hint="cs"/>
          <w:sz w:val="20"/>
          <w:szCs w:val="20"/>
          <w:rtl/>
        </w:rPr>
        <w:t xml:space="preserve">, כשהמילים אבדו את משמעותן הפשוטה ונבלעות ברמזים, בחרוזים פרועים, בלגלוג, באין אומר. </w:t>
      </w:r>
      <w:r w:rsidRPr="003F3FA8">
        <w:rPr>
          <w:rFonts w:cs="David"/>
          <w:sz w:val="20"/>
          <w:szCs w:val="20"/>
          <w:rtl/>
        </w:rPr>
        <w:t xml:space="preserve"> </w:t>
      </w:r>
    </w:p>
    <w:p w:rsidR="0033197B" w:rsidRPr="003F3FA8" w:rsidRDefault="0033197B" w:rsidP="0033197B">
      <w:pPr>
        <w:ind w:firstLine="227"/>
        <w:rPr>
          <w:rFonts w:cs="David"/>
          <w:sz w:val="20"/>
          <w:szCs w:val="20"/>
          <w:rtl/>
        </w:rPr>
      </w:pPr>
      <w:r w:rsidRPr="003F3FA8">
        <w:rPr>
          <w:rFonts w:cs="David"/>
          <w:sz w:val="20"/>
          <w:szCs w:val="20"/>
          <w:rtl/>
        </w:rPr>
        <w:t>אולי קסמו של הכישוף נולד בתוך ניוון מסוים של הנשי</w:t>
      </w:r>
      <w:r w:rsidRPr="003F3FA8">
        <w:rPr>
          <w:rFonts w:cs="David" w:hint="cs"/>
          <w:sz w:val="20"/>
          <w:szCs w:val="20"/>
          <w:rtl/>
        </w:rPr>
        <w:t xml:space="preserve"> (עמ' 177-8)</w:t>
      </w:r>
    </w:p>
    <w:p w:rsidR="0033197B" w:rsidRPr="003F3FA8" w:rsidRDefault="0033197B" w:rsidP="0033197B">
      <w:pPr>
        <w:ind w:firstLine="227"/>
        <w:rPr>
          <w:rFonts w:cs="David"/>
          <w:sz w:val="20"/>
          <w:szCs w:val="20"/>
          <w:rtl/>
        </w:rPr>
      </w:pPr>
      <w:r w:rsidRPr="003F3FA8">
        <w:rPr>
          <w:rFonts w:cs="David"/>
          <w:sz w:val="20"/>
          <w:szCs w:val="20"/>
          <w:rtl/>
        </w:rPr>
        <w:t xml:space="preserve">שום דבר אינו זהה יותר עם עצמו, זה הכישוף: העולם המודרני. אף אחד אינו זהה עם עצמו אין מילה שיכולה להיאמר, מפני שאין משמעות </w:t>
      </w:r>
      <w:proofErr w:type="spellStart"/>
      <w:r w:rsidRPr="003F3FA8">
        <w:rPr>
          <w:rFonts w:cs="David"/>
          <w:sz w:val="20"/>
          <w:szCs w:val="20"/>
          <w:rtl/>
        </w:rPr>
        <w:t>אמיתית</w:t>
      </w:r>
      <w:proofErr w:type="spellEnd"/>
      <w:r w:rsidRPr="003F3FA8">
        <w:rPr>
          <w:rFonts w:cs="David"/>
          <w:sz w:val="20"/>
          <w:szCs w:val="20"/>
          <w:rtl/>
        </w:rPr>
        <w:t xml:space="preserve"> לשום מילה, כל מילה היא לחש מכושף. איש אינו מקשיב לדבריך, כל אחד חושד בכל מה שלא נאמר מאחורי דבריך (187)</w:t>
      </w:r>
    </w:p>
    <w:p w:rsidR="0033197B" w:rsidRPr="003F3FA8" w:rsidRDefault="0033197B" w:rsidP="0033197B">
      <w:pPr>
        <w:ind w:firstLine="226"/>
        <w:rPr>
          <w:rFonts w:cs="David"/>
          <w:b/>
          <w:bCs/>
          <w:sz w:val="20"/>
          <w:szCs w:val="20"/>
          <w:rtl/>
        </w:rPr>
      </w:pPr>
    </w:p>
    <w:p w:rsidR="0033197B" w:rsidRPr="003F3FA8" w:rsidRDefault="0033197B" w:rsidP="0033197B">
      <w:pPr>
        <w:ind w:firstLine="226"/>
        <w:rPr>
          <w:rFonts w:cs="David"/>
          <w:b/>
          <w:bCs/>
          <w:rtl/>
        </w:rPr>
      </w:pPr>
      <w:r w:rsidRPr="003F3FA8">
        <w:rPr>
          <w:rFonts w:cs="David" w:hint="cs"/>
          <w:b/>
          <w:bCs/>
          <w:rtl/>
        </w:rPr>
        <w:t>מיתתן במה</w:t>
      </w:r>
      <w:r>
        <w:rPr>
          <w:rFonts w:cs="David" w:hint="cs"/>
          <w:b/>
          <w:bCs/>
          <w:rtl/>
        </w:rPr>
        <w:t>?</w:t>
      </w:r>
    </w:p>
    <w:p w:rsidR="0033197B" w:rsidRDefault="0033197B" w:rsidP="0033197B">
      <w:pPr>
        <w:ind w:firstLine="227"/>
        <w:rPr>
          <w:rFonts w:cs="David"/>
          <w:sz w:val="20"/>
          <w:szCs w:val="20"/>
          <w:rtl/>
        </w:rPr>
      </w:pPr>
      <w:r w:rsidRPr="003F3FA8">
        <w:rPr>
          <w:rFonts w:cs="David" w:hint="cs"/>
          <w:sz w:val="20"/>
          <w:szCs w:val="20"/>
          <w:rtl/>
        </w:rPr>
        <w:t>כשנשים לב עכשיו לקביעת העונש המגיע להם, נגלה את אופני ה"קודש":</w:t>
      </w:r>
    </w:p>
    <w:p w:rsidR="0033197B" w:rsidRPr="003F3FA8" w:rsidRDefault="0033197B" w:rsidP="0033197B">
      <w:pPr>
        <w:ind w:firstLine="227"/>
        <w:rPr>
          <w:rFonts w:cs="David"/>
          <w:sz w:val="20"/>
          <w:szCs w:val="20"/>
          <w:rtl/>
        </w:rPr>
      </w:pPr>
    </w:p>
    <w:p w:rsidR="0033197B" w:rsidRDefault="0033197B" w:rsidP="0033197B">
      <w:pPr>
        <w:ind w:firstLine="227"/>
        <w:rPr>
          <w:rFonts w:cs="David"/>
          <w:sz w:val="20"/>
          <w:szCs w:val="20"/>
          <w:rtl/>
        </w:rPr>
      </w:pPr>
      <w:r>
        <w:rPr>
          <w:rFonts w:cs="David" w:hint="cs"/>
          <w:b/>
          <w:bCs/>
          <w:sz w:val="20"/>
          <w:szCs w:val="20"/>
          <w:rtl/>
        </w:rPr>
        <w:t xml:space="preserve">1. </w:t>
      </w:r>
      <w:r w:rsidRPr="003F3FA8">
        <w:rPr>
          <w:rFonts w:cs="David" w:hint="cs"/>
          <w:sz w:val="20"/>
          <w:szCs w:val="20"/>
          <w:rtl/>
        </w:rPr>
        <w:t xml:space="preserve">[...] ר' יוסי הגלילי קובע כי המכשף ייהרג בסיף... אבל מעניינת אותנו יותר הקטגוריה שאליה משתייך הכישוף לפי אותו חכם, ממנה נוכל ללמוד מהו ה"קודש" שהוליד אותו: הכישוף מאפיין את תרבותם של עמים מושחתים (האם </w:t>
      </w:r>
      <w:r w:rsidRPr="003F3FA8">
        <w:rPr>
          <w:rFonts w:cs="David" w:hint="cs"/>
          <w:sz w:val="20"/>
          <w:szCs w:val="20"/>
          <w:rtl/>
        </w:rPr>
        <w:lastRenderedPageBreak/>
        <w:t xml:space="preserve">השחתה זו התקיימה בהיסטוריה? אין בכך כל </w:t>
      </w:r>
      <w:proofErr w:type="spellStart"/>
      <w:r w:rsidRPr="003F3FA8">
        <w:rPr>
          <w:rFonts w:cs="David" w:hint="cs"/>
          <w:sz w:val="20"/>
          <w:szCs w:val="20"/>
          <w:rtl/>
        </w:rPr>
        <w:t>נפק"מ</w:t>
      </w:r>
      <w:proofErr w:type="spellEnd"/>
      <w:r w:rsidRPr="003F3FA8">
        <w:rPr>
          <w:rFonts w:cs="David" w:hint="cs"/>
          <w:sz w:val="20"/>
          <w:szCs w:val="20"/>
          <w:rtl/>
        </w:rPr>
        <w:t xml:space="preserve">; כדי להבין את משמעות הנתונים אני מקבל אותם כפי שהם מופיעים </w:t>
      </w:r>
      <w:proofErr w:type="spellStart"/>
      <w:r w:rsidRPr="003F3FA8">
        <w:rPr>
          <w:rFonts w:cs="David" w:hint="cs"/>
          <w:sz w:val="20"/>
          <w:szCs w:val="20"/>
          <w:rtl/>
        </w:rPr>
        <w:t>בסוגיא</w:t>
      </w:r>
      <w:proofErr w:type="spellEnd"/>
      <w:r w:rsidRPr="003F3FA8">
        <w:rPr>
          <w:rFonts w:cs="David" w:hint="cs"/>
          <w:sz w:val="20"/>
          <w:szCs w:val="20"/>
          <w:rtl/>
        </w:rPr>
        <w:t xml:space="preserve"> שלפנינו)... אם כן, </w:t>
      </w:r>
      <w:r w:rsidRPr="003F3FA8">
        <w:rPr>
          <w:rFonts w:cs="David" w:hint="cs"/>
          <w:b/>
          <w:bCs/>
          <w:sz w:val="20"/>
          <w:szCs w:val="20"/>
          <w:rtl/>
        </w:rPr>
        <w:t>הכישוף הוא סוג של השחתה, הזרה לגמרי ליהדות עצמה</w:t>
      </w:r>
      <w:r w:rsidRPr="003F3FA8">
        <w:rPr>
          <w:rFonts w:cs="David" w:hint="cs"/>
          <w:sz w:val="20"/>
          <w:szCs w:val="20"/>
          <w:rtl/>
        </w:rPr>
        <w:t>. זהו ה"קודש" של האחרים!</w:t>
      </w:r>
    </w:p>
    <w:p w:rsidR="0033197B" w:rsidRPr="003F3FA8" w:rsidRDefault="0033197B" w:rsidP="0033197B">
      <w:pPr>
        <w:ind w:firstLine="227"/>
        <w:rPr>
          <w:rFonts w:cs="David"/>
          <w:sz w:val="20"/>
          <w:szCs w:val="20"/>
          <w:rtl/>
        </w:rPr>
      </w:pPr>
    </w:p>
    <w:p w:rsidR="0033197B" w:rsidRDefault="0033197B" w:rsidP="0033197B">
      <w:pPr>
        <w:ind w:firstLine="227"/>
        <w:rPr>
          <w:rFonts w:cs="David"/>
          <w:sz w:val="20"/>
          <w:szCs w:val="20"/>
          <w:rtl/>
        </w:rPr>
      </w:pPr>
      <w:r>
        <w:rPr>
          <w:rFonts w:cs="David" w:hint="cs"/>
          <w:b/>
          <w:bCs/>
          <w:sz w:val="20"/>
          <w:szCs w:val="20"/>
          <w:rtl/>
        </w:rPr>
        <w:t xml:space="preserve">2. </w:t>
      </w:r>
      <w:r w:rsidRPr="003F3FA8">
        <w:rPr>
          <w:rFonts w:cs="David"/>
          <w:sz w:val="20"/>
          <w:szCs w:val="20"/>
          <w:rtl/>
        </w:rPr>
        <w:t>ר' עקיבא</w:t>
      </w:r>
      <w:r w:rsidRPr="003F3FA8">
        <w:rPr>
          <w:rFonts w:cs="David" w:hint="cs"/>
          <w:sz w:val="20"/>
          <w:szCs w:val="20"/>
          <w:rtl/>
        </w:rPr>
        <w:t xml:space="preserve"> הרחום... חשובה כאן ההשוואה בין </w:t>
      </w:r>
      <w:proofErr w:type="spellStart"/>
      <w:r w:rsidRPr="003F3FA8">
        <w:rPr>
          <w:rFonts w:cs="David" w:hint="cs"/>
          <w:sz w:val="20"/>
          <w:szCs w:val="20"/>
          <w:rtl/>
        </w:rPr>
        <w:t>ה</w:t>
      </w:r>
      <w:r>
        <w:rPr>
          <w:rFonts w:cs="David" w:hint="cs"/>
          <w:sz w:val="20"/>
          <w:szCs w:val="20"/>
          <w:rtl/>
        </w:rPr>
        <w:t>מקורו</w:t>
      </w:r>
      <w:r w:rsidRPr="003F3FA8">
        <w:rPr>
          <w:rFonts w:cs="David" w:hint="cs"/>
          <w:sz w:val="20"/>
          <w:szCs w:val="20"/>
          <w:rtl/>
        </w:rPr>
        <w:t>ות</w:t>
      </w:r>
      <w:proofErr w:type="spellEnd"/>
      <w:r w:rsidRPr="003F3FA8">
        <w:rPr>
          <w:rFonts w:cs="David" w:hint="cs"/>
          <w:sz w:val="20"/>
          <w:szCs w:val="20"/>
          <w:rtl/>
        </w:rPr>
        <w:t xml:space="preserve">: אתר מוסרי מסוים נפתח אל עבר אתר אחר, נוף אחד מואר על ידי קירובו לנוף אחר... </w:t>
      </w:r>
      <w:r w:rsidRPr="003F3FA8">
        <w:rPr>
          <w:rFonts w:cs="David"/>
          <w:sz w:val="20"/>
          <w:szCs w:val="20"/>
          <w:rtl/>
        </w:rPr>
        <w:t xml:space="preserve">הפעם הכישוף, אותה אשליה שממנה נהנית המכשפה, </w:t>
      </w:r>
      <w:r w:rsidRPr="003F3FA8">
        <w:rPr>
          <w:rFonts w:cs="David"/>
          <w:bCs/>
          <w:sz w:val="20"/>
          <w:szCs w:val="20"/>
          <w:rtl/>
        </w:rPr>
        <w:t>אינו עוד תופעה זרה, אלא הוא הפיתוי המושך את העם להתגלות</w:t>
      </w:r>
      <w:r w:rsidRPr="003F3FA8">
        <w:rPr>
          <w:rFonts w:cs="David"/>
          <w:sz w:val="20"/>
          <w:szCs w:val="20"/>
          <w:rtl/>
        </w:rPr>
        <w:t>. הפעם הכישוף הוא הניסיון להסתכל מעבר למה שניתן לראות.</w:t>
      </w:r>
      <w:r w:rsidRPr="003F3FA8">
        <w:rPr>
          <w:rFonts w:cs="David" w:hint="cs"/>
          <w:sz w:val="20"/>
          <w:szCs w:val="20"/>
          <w:rtl/>
        </w:rPr>
        <w:t xml:space="preserve"> זו היציאה מן הגבולות שבהם צריך לעמוד כדי להתקרב לאמת.</w:t>
      </w:r>
      <w:r w:rsidRPr="003F3FA8">
        <w:rPr>
          <w:rFonts w:cs="David"/>
          <w:sz w:val="20"/>
          <w:szCs w:val="20"/>
          <w:rtl/>
        </w:rPr>
        <w:t xml:space="preserve"> אלה המשרתות הרואות יותר ממה שרואה המלכה... זו האחרונה קרובה יותר להוד המלך על ידי הימנעותה מלראות מאשר השפחה שהסתכלה. הכישוף הוא הסקרנות המופיעה כשצריך היה להשפיל מבט, היא גסות הרוח ביחס לא-לוקי, חוסר הרגישות ביחס למסתורין, החשיפה של מה שדורש התקרבות צנועה... הכישוף אינו השחתה אלילית, זו השחתתו של העם הקדוש עצמו... זו האשליה הנובעת מן האמת הבלתי נסבל והמפתה מעומק האמת. זו השחתה יהודית, כלומר, השחתת כל מי שמסוגל להתעלות עד האמת של מי שנמצא תחת הר סיני (179-180)</w:t>
      </w:r>
    </w:p>
    <w:p w:rsidR="0033197B" w:rsidRPr="003F3FA8" w:rsidRDefault="0033197B" w:rsidP="0033197B">
      <w:pPr>
        <w:ind w:firstLine="227"/>
        <w:rPr>
          <w:rFonts w:cs="David"/>
          <w:sz w:val="20"/>
          <w:szCs w:val="20"/>
          <w:rtl/>
        </w:rPr>
      </w:pPr>
    </w:p>
    <w:p w:rsidR="0033197B" w:rsidRPr="003F3FA8" w:rsidRDefault="0033197B" w:rsidP="0033197B">
      <w:pPr>
        <w:ind w:firstLine="227"/>
        <w:rPr>
          <w:rFonts w:cs="David"/>
          <w:sz w:val="20"/>
          <w:szCs w:val="20"/>
          <w:rtl/>
        </w:rPr>
      </w:pPr>
      <w:r>
        <w:rPr>
          <w:rFonts w:cs="David" w:hint="cs"/>
          <w:b/>
          <w:bCs/>
          <w:sz w:val="20"/>
          <w:szCs w:val="20"/>
          <w:rtl/>
        </w:rPr>
        <w:t xml:space="preserve">3. </w:t>
      </w:r>
      <w:r>
        <w:rPr>
          <w:rFonts w:cs="David" w:hint="cs"/>
          <w:sz w:val="20"/>
          <w:szCs w:val="20"/>
          <w:rtl/>
        </w:rPr>
        <w:t xml:space="preserve">"אוב וידעוני בכלל מכשפים היו": הכישוף הוא מין שאנחנו מכירים את סוגו... מה נוכל ללמוד ממנו על הכישוף? בכלל הסוג הזה נמצאים בעלי האוב... </w:t>
      </w:r>
      <w:r w:rsidRPr="003F3FA8">
        <w:rPr>
          <w:rFonts w:cs="David"/>
          <w:sz w:val="20"/>
          <w:szCs w:val="20"/>
          <w:rtl/>
        </w:rPr>
        <w:t>הם השואלים את המתים, הם עבדי המסורת. הנה פן חדש בניוון הקודש: הקודש העוטף את העבר השמור מכל מגע; ואולי גם העיסוק בחקירות אותות העתיד, הקודש של מסובבי השולחנות ודורשי לוחות המזלות, הקודש הגס ביותר</w:t>
      </w:r>
      <w:r>
        <w:rPr>
          <w:rFonts w:cs="David" w:hint="cs"/>
          <w:sz w:val="20"/>
          <w:szCs w:val="20"/>
          <w:rtl/>
        </w:rPr>
        <w:t xml:space="preserve">, הקודש של בעלי האמונות הטפלות והרוחניות המזויפת </w:t>
      </w:r>
      <w:r>
        <w:rPr>
          <w:rFonts w:cs="David"/>
          <w:sz w:val="20"/>
          <w:szCs w:val="20"/>
          <w:rtl/>
        </w:rPr>
        <w:t>–</w:t>
      </w:r>
      <w:r>
        <w:rPr>
          <w:rFonts w:cs="David" w:hint="cs"/>
          <w:sz w:val="20"/>
          <w:szCs w:val="20"/>
          <w:rtl/>
        </w:rPr>
        <w:t xml:space="preserve"> הרוחניות של דורשי הרוחות</w:t>
      </w:r>
      <w:r w:rsidRPr="003F3FA8">
        <w:rPr>
          <w:rFonts w:cs="David"/>
          <w:sz w:val="20"/>
          <w:szCs w:val="20"/>
          <w:rtl/>
        </w:rPr>
        <w:t xml:space="preserve"> (181)</w:t>
      </w:r>
    </w:p>
    <w:p w:rsidR="00D57FFC" w:rsidRDefault="00D57FFC">
      <w:pPr>
        <w:rPr>
          <w:rtl/>
        </w:rPr>
      </w:pPr>
    </w:p>
    <w:p w:rsidR="0033197B" w:rsidRPr="009C4893" w:rsidRDefault="0033197B" w:rsidP="0033197B">
      <w:pPr>
        <w:ind w:firstLine="227"/>
        <w:rPr>
          <w:rFonts w:cs="David"/>
          <w:sz w:val="20"/>
          <w:szCs w:val="20"/>
          <w:rtl/>
        </w:rPr>
      </w:pPr>
      <w:r>
        <w:rPr>
          <w:rFonts w:cs="David" w:hint="cs"/>
          <w:b/>
          <w:bCs/>
          <w:sz w:val="20"/>
          <w:szCs w:val="20"/>
          <w:rtl/>
        </w:rPr>
        <w:t xml:space="preserve">4. </w:t>
      </w:r>
      <w:r w:rsidRPr="009C4893">
        <w:rPr>
          <w:rFonts w:cs="David" w:hint="cs"/>
          <w:sz w:val="20"/>
          <w:szCs w:val="20"/>
          <w:rtl/>
        </w:rPr>
        <w:t xml:space="preserve">שני היבטים של הכישוף: ב"לט" </w:t>
      </w:r>
      <w:proofErr w:type="spellStart"/>
      <w:r w:rsidRPr="009C4893">
        <w:rPr>
          <w:rFonts w:cs="David" w:hint="cs"/>
          <w:sz w:val="20"/>
          <w:szCs w:val="20"/>
          <w:rtl/>
        </w:rPr>
        <w:t>וב"להט</w:t>
      </w:r>
      <w:proofErr w:type="spellEnd"/>
      <w:r w:rsidRPr="009C4893">
        <w:rPr>
          <w:rFonts w:cs="David" w:hint="cs"/>
          <w:sz w:val="20"/>
          <w:szCs w:val="20"/>
          <w:rtl/>
        </w:rPr>
        <w:t xml:space="preserve">"... איזו הבחנה מוזרה בין הכישוף הנעשה על ידי שדים לבין סתם כישוף! האם הראשון אינו רומז למה שמתגנב בטכניקה: הקודש שהתנוון בעזרת ההתרברבות בטכניקה?... ומה בדבר הכישוף השני... שאינו נזקק לכלים, המסתפק בלחשים? אולי זה הכישוך הפועל בדרך הרוחניות וההפנמה, האפשרות להתגבר על הסכסוכים על ידי הפנמת הבעיות, פתרון הבעיות על ידי כוונות טובות? לכישוף הפנימי משאבים אינסופיים: בחיים הפנימיים </w:t>
      </w:r>
      <w:proofErr w:type="spellStart"/>
      <w:r w:rsidRPr="009C4893">
        <w:rPr>
          <w:rFonts w:cs="David" w:hint="cs"/>
          <w:sz w:val="20"/>
          <w:szCs w:val="20"/>
          <w:rtl/>
        </w:rPr>
        <w:t>הכל</w:t>
      </w:r>
      <w:proofErr w:type="spellEnd"/>
      <w:r w:rsidRPr="009C4893">
        <w:rPr>
          <w:rFonts w:cs="David" w:hint="cs"/>
          <w:sz w:val="20"/>
          <w:szCs w:val="20"/>
          <w:rtl/>
        </w:rPr>
        <w:t xml:space="preserve"> מותר </w:t>
      </w:r>
      <w:r w:rsidRPr="009C4893">
        <w:rPr>
          <w:rFonts w:cs="David"/>
          <w:sz w:val="20"/>
          <w:szCs w:val="20"/>
          <w:rtl/>
        </w:rPr>
        <w:t>–</w:t>
      </w:r>
      <w:r w:rsidRPr="009C4893">
        <w:rPr>
          <w:rFonts w:cs="David" w:hint="cs"/>
          <w:sz w:val="20"/>
          <w:szCs w:val="20"/>
          <w:rtl/>
        </w:rPr>
        <w:t xml:space="preserve"> עד הפשע ועד בכלל. מבטלים את החוקים בשם האהבה (184)</w:t>
      </w:r>
    </w:p>
    <w:p w:rsidR="0033197B" w:rsidRDefault="0033197B" w:rsidP="0033197B">
      <w:pPr>
        <w:ind w:firstLine="227"/>
        <w:rPr>
          <w:rFonts w:cs="David"/>
          <w:sz w:val="20"/>
          <w:szCs w:val="20"/>
          <w:rtl/>
        </w:rPr>
      </w:pPr>
    </w:p>
    <w:p w:rsidR="0033197B" w:rsidRDefault="0033197B" w:rsidP="0033197B">
      <w:pPr>
        <w:numPr>
          <w:ilvl w:val="0"/>
          <w:numId w:val="1"/>
        </w:numPr>
        <w:jc w:val="center"/>
        <w:rPr>
          <w:rFonts w:cs="David"/>
          <w:b/>
          <w:bCs/>
          <w:sz w:val="20"/>
          <w:szCs w:val="20"/>
          <w:rtl/>
        </w:rPr>
      </w:pPr>
    </w:p>
    <w:p w:rsidR="0033197B" w:rsidRPr="009C4893" w:rsidRDefault="0033197B" w:rsidP="0033197B">
      <w:pPr>
        <w:ind w:firstLine="227"/>
        <w:rPr>
          <w:rFonts w:cs="David"/>
          <w:b/>
          <w:bCs/>
          <w:sz w:val="20"/>
          <w:szCs w:val="20"/>
          <w:rtl/>
        </w:rPr>
      </w:pPr>
    </w:p>
    <w:p w:rsidR="0033197B" w:rsidRDefault="0033197B" w:rsidP="0033197B">
      <w:pPr>
        <w:ind w:firstLine="227"/>
        <w:rPr>
          <w:rFonts w:cs="David"/>
          <w:sz w:val="20"/>
          <w:szCs w:val="20"/>
          <w:rtl/>
        </w:rPr>
      </w:pPr>
      <w:r w:rsidRPr="009C4893">
        <w:rPr>
          <w:rFonts w:cs="David" w:hint="cs"/>
          <w:sz w:val="20"/>
          <w:szCs w:val="20"/>
          <w:rtl/>
        </w:rPr>
        <w:t xml:space="preserve">האם רב </w:t>
      </w:r>
      <w:proofErr w:type="spellStart"/>
      <w:r w:rsidRPr="009C4893">
        <w:rPr>
          <w:rFonts w:cs="David" w:hint="cs"/>
          <w:sz w:val="20"/>
          <w:szCs w:val="20"/>
          <w:rtl/>
        </w:rPr>
        <w:t>אושעיא</w:t>
      </w:r>
      <w:proofErr w:type="spellEnd"/>
      <w:r w:rsidRPr="009C4893">
        <w:rPr>
          <w:rFonts w:cs="David" w:hint="cs"/>
          <w:sz w:val="20"/>
          <w:szCs w:val="20"/>
          <w:rtl/>
        </w:rPr>
        <w:t xml:space="preserve"> ורב </w:t>
      </w:r>
      <w:proofErr w:type="spellStart"/>
      <w:r w:rsidRPr="009C4893">
        <w:rPr>
          <w:rFonts w:cs="David" w:hint="cs"/>
          <w:sz w:val="20"/>
          <w:szCs w:val="20"/>
          <w:rtl/>
        </w:rPr>
        <w:t>חנינא</w:t>
      </w:r>
      <w:proofErr w:type="spellEnd"/>
      <w:r w:rsidRPr="009C4893">
        <w:rPr>
          <w:rFonts w:cs="David" w:hint="cs"/>
          <w:sz w:val="20"/>
          <w:szCs w:val="20"/>
          <w:rtl/>
        </w:rPr>
        <w:t xml:space="preserve"> עסקו בדבר מותר? התשובה חיובית. אם אתם בקיאים ברזי היצי</w:t>
      </w:r>
      <w:r>
        <w:rPr>
          <w:rFonts w:cs="David" w:hint="cs"/>
          <w:sz w:val="20"/>
          <w:szCs w:val="20"/>
          <w:rtl/>
        </w:rPr>
        <w:t>ר</w:t>
      </w:r>
      <w:r w:rsidRPr="009C4893">
        <w:rPr>
          <w:rFonts w:cs="David" w:hint="cs"/>
          <w:sz w:val="20"/>
          <w:szCs w:val="20"/>
          <w:rtl/>
        </w:rPr>
        <w:t>ה, תוכלו לייצר יצור הנראה על-טבעי... הדבר מותר. הוראה נועזת זו מלמדת ע</w:t>
      </w:r>
      <w:r>
        <w:rPr>
          <w:rFonts w:cs="David" w:hint="cs"/>
          <w:sz w:val="20"/>
          <w:szCs w:val="20"/>
          <w:rtl/>
        </w:rPr>
        <w:t>ד</w:t>
      </w:r>
      <w:r w:rsidRPr="009C4893">
        <w:rPr>
          <w:rFonts w:cs="David" w:hint="cs"/>
          <w:sz w:val="20"/>
          <w:szCs w:val="20"/>
          <w:rtl/>
        </w:rPr>
        <w:t xml:space="preserve"> כמה מגוחך הניסיון להגביל את יוזמת האדם. בוז לאמונות הטפלות השמרניות ולחרדות מפני התפתחות הטכנולוגיה! כל זמן שאין אנו מתפתים מאיזה חזיון-</w:t>
      </w:r>
      <w:proofErr w:type="spellStart"/>
      <w:r w:rsidRPr="009C4893">
        <w:rPr>
          <w:rFonts w:cs="David" w:hint="cs"/>
          <w:sz w:val="20"/>
          <w:szCs w:val="20"/>
          <w:rtl/>
        </w:rPr>
        <w:t>שוא</w:t>
      </w:r>
      <w:proofErr w:type="spellEnd"/>
      <w:r w:rsidRPr="009C4893">
        <w:rPr>
          <w:rFonts w:cs="David" w:hint="cs"/>
          <w:sz w:val="20"/>
          <w:szCs w:val="20"/>
          <w:rtl/>
        </w:rPr>
        <w:t xml:space="preserve">, מותר לנסות את </w:t>
      </w:r>
      <w:proofErr w:type="spellStart"/>
      <w:r w:rsidRPr="009C4893">
        <w:rPr>
          <w:rFonts w:cs="David" w:hint="cs"/>
          <w:sz w:val="20"/>
          <w:szCs w:val="20"/>
          <w:rtl/>
        </w:rPr>
        <w:t>הכל</w:t>
      </w:r>
      <w:proofErr w:type="spellEnd"/>
      <w:r w:rsidRPr="009C4893">
        <w:rPr>
          <w:rFonts w:cs="David" w:hint="cs"/>
          <w:sz w:val="20"/>
          <w:szCs w:val="20"/>
          <w:rtl/>
        </w:rPr>
        <w:t xml:space="preserve">, ואפילו ליצור בשר מלאכותי. אין בכך כל כישוף. </w:t>
      </w:r>
    </w:p>
    <w:p w:rsidR="0033197B" w:rsidRPr="009C4893" w:rsidRDefault="0033197B" w:rsidP="0033197B">
      <w:pPr>
        <w:ind w:firstLine="227"/>
        <w:rPr>
          <w:rFonts w:cs="David"/>
          <w:sz w:val="20"/>
          <w:szCs w:val="20"/>
          <w:rtl/>
        </w:rPr>
      </w:pPr>
      <w:r w:rsidRPr="009C4893">
        <w:rPr>
          <w:rFonts w:cs="David" w:hint="cs"/>
          <w:sz w:val="20"/>
          <w:szCs w:val="20"/>
          <w:rtl/>
        </w:rPr>
        <w:t>מדובר בבשר מלאכותי, אבל גם בבשר שנוצר לכבוד שבת. הדיוק חשוב: מותר לחלום על הגשמת חלומות עוד יותר נוע</w:t>
      </w:r>
      <w:r>
        <w:rPr>
          <w:rFonts w:cs="David" w:hint="cs"/>
          <w:sz w:val="20"/>
          <w:szCs w:val="20"/>
          <w:rtl/>
        </w:rPr>
        <w:t>ז</w:t>
      </w:r>
      <w:r w:rsidRPr="009C4893">
        <w:rPr>
          <w:rFonts w:cs="David" w:hint="cs"/>
          <w:sz w:val="20"/>
          <w:szCs w:val="20"/>
          <w:rtl/>
        </w:rPr>
        <w:t>ים, בתנאי שהשבת תקוים: זו ריבונות האדם המסוגל להשתח</w:t>
      </w:r>
      <w:r>
        <w:rPr>
          <w:rFonts w:cs="David" w:hint="cs"/>
          <w:sz w:val="20"/>
          <w:szCs w:val="20"/>
          <w:rtl/>
        </w:rPr>
        <w:t>ר</w:t>
      </w:r>
      <w:r w:rsidRPr="009C4893">
        <w:rPr>
          <w:rFonts w:cs="David" w:hint="cs"/>
          <w:sz w:val="20"/>
          <w:szCs w:val="20"/>
          <w:rtl/>
        </w:rPr>
        <w:t xml:space="preserve">ר מן הסדר... אם כן, </w:t>
      </w:r>
      <w:r w:rsidRPr="009C4893">
        <w:rPr>
          <w:rFonts w:cs="David"/>
          <w:sz w:val="20"/>
          <w:szCs w:val="20"/>
          <w:rtl/>
        </w:rPr>
        <w:t>ההקבלה בין הלכות הכישוף והלכות השבת אינה רק צורנית: השבת מציינת בהלכותיה את הגבול שבין הטכנולוגיה לבין הכישוף. במובן מסוים, הכישוף הוא חילול השבת</w:t>
      </w:r>
      <w:r w:rsidRPr="009C4893">
        <w:rPr>
          <w:rFonts w:cs="David" w:hint="cs"/>
          <w:sz w:val="20"/>
          <w:szCs w:val="20"/>
          <w:rtl/>
        </w:rPr>
        <w:t>... אני תמיד מתפעל כשאני מגלה, מבעד לו</w:t>
      </w:r>
      <w:r>
        <w:rPr>
          <w:rFonts w:cs="David" w:hint="cs"/>
          <w:sz w:val="20"/>
          <w:szCs w:val="20"/>
          <w:rtl/>
        </w:rPr>
        <w:t>ו</w:t>
      </w:r>
      <w:r w:rsidRPr="009C4893">
        <w:rPr>
          <w:rFonts w:cs="David" w:hint="cs"/>
          <w:sz w:val="20"/>
          <w:szCs w:val="20"/>
          <w:rtl/>
        </w:rPr>
        <w:t>יכוחים המשפטיים וההשוואו</w:t>
      </w:r>
      <w:r>
        <w:rPr>
          <w:rFonts w:cs="David" w:hint="cs"/>
          <w:sz w:val="20"/>
          <w:szCs w:val="20"/>
          <w:rtl/>
        </w:rPr>
        <w:t xml:space="preserve">ת </w:t>
      </w:r>
      <w:r w:rsidRPr="009C4893">
        <w:rPr>
          <w:rFonts w:cs="David" w:hint="cs"/>
          <w:sz w:val="20"/>
          <w:szCs w:val="20"/>
          <w:rtl/>
        </w:rPr>
        <w:t>הצורניות של הגמרא, הברקות רבות משמעות שהן כנראה עיקר העניין. ההשוואה בין הכישוף לבין חילול השבת... היא מרשימה. מרשימה עוד יותר העובדה שהשבת היא, בסופו של דבר, למען האדם. ואולם היא נשארת למען האדם אך ורק אם מערכת חוקים מגינה עליה מפני ניצול האדם ומפני הכישוף וקסמי הלחש (185-186)</w:t>
      </w:r>
    </w:p>
    <w:p w:rsidR="0033197B" w:rsidRDefault="0033197B" w:rsidP="0033197B">
      <w:pPr>
        <w:ind w:firstLine="227"/>
        <w:rPr>
          <w:rFonts w:cs="David"/>
          <w:sz w:val="20"/>
          <w:szCs w:val="20"/>
          <w:rtl/>
        </w:rPr>
      </w:pPr>
    </w:p>
    <w:p w:rsidR="0033197B" w:rsidRDefault="0033197B" w:rsidP="0033197B">
      <w:pPr>
        <w:numPr>
          <w:ilvl w:val="0"/>
          <w:numId w:val="1"/>
        </w:numPr>
        <w:jc w:val="center"/>
        <w:rPr>
          <w:rFonts w:cs="David"/>
          <w:sz w:val="20"/>
          <w:szCs w:val="20"/>
          <w:rtl/>
        </w:rPr>
      </w:pPr>
    </w:p>
    <w:p w:rsidR="0033197B" w:rsidRPr="009C4893" w:rsidRDefault="0033197B" w:rsidP="0033197B">
      <w:pPr>
        <w:ind w:firstLine="227"/>
        <w:rPr>
          <w:rFonts w:cs="David"/>
          <w:sz w:val="20"/>
          <w:szCs w:val="20"/>
          <w:rtl/>
        </w:rPr>
      </w:pPr>
    </w:p>
    <w:p w:rsidR="0033197B" w:rsidRPr="009C4893" w:rsidRDefault="0033197B" w:rsidP="0033197B">
      <w:pPr>
        <w:ind w:firstLine="227"/>
        <w:rPr>
          <w:rFonts w:cs="David"/>
          <w:sz w:val="20"/>
          <w:szCs w:val="20"/>
          <w:rtl/>
        </w:rPr>
      </w:pPr>
      <w:r w:rsidRPr="009C4893">
        <w:rPr>
          <w:rFonts w:cs="David" w:hint="cs"/>
          <w:sz w:val="20"/>
          <w:szCs w:val="20"/>
          <w:rtl/>
        </w:rPr>
        <w:t xml:space="preserve"> לפנינו קטע הנראה בעל אופי סיפורי: מעשיות שונות של כישוף, כפי שמספרים אותם זקני החכמים בשעות הפנאי; ואף על פי כן, שיחת חולין של תלמידי חכמים הינה בעלת משמעות... </w:t>
      </w:r>
    </w:p>
    <w:p w:rsidR="0033197B" w:rsidRPr="009C4893" w:rsidRDefault="0033197B" w:rsidP="0033197B">
      <w:pPr>
        <w:ind w:firstLine="227"/>
        <w:rPr>
          <w:rFonts w:cs="David"/>
          <w:sz w:val="20"/>
          <w:szCs w:val="20"/>
          <w:rtl/>
        </w:rPr>
      </w:pPr>
      <w:r w:rsidRPr="009C4893">
        <w:rPr>
          <w:rFonts w:cs="David" w:hint="cs"/>
          <w:sz w:val="20"/>
          <w:szCs w:val="20"/>
          <w:rtl/>
        </w:rPr>
        <w:t>האם הכישוף יוצר דבר? לא, אין בכישוף שום יצירה... המכשפים אינם מסוגלים לברוא לא את היצור הקטן ביותר ולא את הגדול ביותר, הם יכולים לברוא רק מה שכבר קיים, הם מטלטלים דבר ממקום למקום (186)</w:t>
      </w:r>
    </w:p>
    <w:p w:rsidR="0033197B" w:rsidRPr="009C4893" w:rsidRDefault="0033197B" w:rsidP="0033197B">
      <w:pPr>
        <w:ind w:firstLine="227"/>
        <w:rPr>
          <w:rFonts w:cs="David"/>
          <w:sz w:val="20"/>
          <w:szCs w:val="20"/>
          <w:rtl/>
        </w:rPr>
      </w:pPr>
      <w:r w:rsidRPr="009C4893">
        <w:rPr>
          <w:rFonts w:cs="David" w:hint="cs"/>
          <w:sz w:val="20"/>
          <w:szCs w:val="20"/>
          <w:rtl/>
        </w:rPr>
        <w:lastRenderedPageBreak/>
        <w:t xml:space="preserve"> רש"י מוסיף: הוא לא נקרא כאן בשם רבי ינאי, מפני שהשתמש בכשפים. הגמרא אינה רוצה להעניק את התואר "רבי" למי שרכב על גבי </w:t>
      </w:r>
      <w:proofErr w:type="spellStart"/>
      <w:r w:rsidRPr="009C4893">
        <w:rPr>
          <w:rFonts w:cs="David" w:hint="cs"/>
          <w:sz w:val="20"/>
          <w:szCs w:val="20"/>
          <w:rtl/>
        </w:rPr>
        <w:t>אשה</w:t>
      </w:r>
      <w:proofErr w:type="spellEnd"/>
      <w:r w:rsidRPr="009C4893">
        <w:rPr>
          <w:rFonts w:cs="David" w:hint="cs"/>
          <w:sz w:val="20"/>
          <w:szCs w:val="20"/>
          <w:rtl/>
        </w:rPr>
        <w:t xml:space="preserve"> בשוק (188)</w:t>
      </w:r>
    </w:p>
    <w:p w:rsidR="0033197B" w:rsidRDefault="0033197B" w:rsidP="0033197B">
      <w:pPr>
        <w:ind w:firstLine="227"/>
        <w:rPr>
          <w:rFonts w:cs="David"/>
          <w:sz w:val="20"/>
          <w:szCs w:val="20"/>
          <w:rtl/>
        </w:rPr>
      </w:pPr>
    </w:p>
    <w:p w:rsidR="0033197B" w:rsidRDefault="0033197B" w:rsidP="0033197B">
      <w:pPr>
        <w:numPr>
          <w:ilvl w:val="0"/>
          <w:numId w:val="1"/>
        </w:numPr>
        <w:jc w:val="center"/>
        <w:rPr>
          <w:rFonts w:cs="David"/>
          <w:sz w:val="20"/>
          <w:szCs w:val="20"/>
          <w:rtl/>
        </w:rPr>
      </w:pPr>
    </w:p>
    <w:p w:rsidR="0033197B" w:rsidRPr="009C4893" w:rsidRDefault="0033197B" w:rsidP="0033197B">
      <w:pPr>
        <w:ind w:firstLine="227"/>
        <w:rPr>
          <w:rFonts w:cs="David"/>
          <w:sz w:val="20"/>
          <w:szCs w:val="20"/>
          <w:rtl/>
        </w:rPr>
      </w:pPr>
    </w:p>
    <w:p w:rsidR="0033197B" w:rsidRPr="009C4893" w:rsidRDefault="0033197B" w:rsidP="0033197B">
      <w:pPr>
        <w:ind w:firstLine="227"/>
        <w:rPr>
          <w:rFonts w:cs="David"/>
          <w:sz w:val="20"/>
          <w:szCs w:val="20"/>
          <w:rtl/>
        </w:rPr>
      </w:pPr>
      <w:r w:rsidRPr="009C4893">
        <w:rPr>
          <w:rFonts w:cs="David" w:hint="cs"/>
          <w:sz w:val="20"/>
          <w:szCs w:val="20"/>
          <w:rtl/>
        </w:rPr>
        <w:t xml:space="preserve"> כדי לשכנע את חבריו, רבי אליעזר הסתייע במופתים על טבעיים. החלק הזה של הסיפור מאוד מפורסם: עץ נעקר משורשיו, נהר חזר לאחור... ואולם רבי יהושע לא הסכים להכריע דיון הלכתי על ידי עץ שנעקר משורשיו או נהר החוזר למקורותיו: הקץ לניסים! (189)</w:t>
      </w:r>
    </w:p>
    <w:p w:rsidR="0033197B" w:rsidRPr="009C4893" w:rsidRDefault="0033197B" w:rsidP="0033197B">
      <w:pPr>
        <w:ind w:firstLine="226"/>
        <w:rPr>
          <w:rFonts w:cs="David"/>
          <w:sz w:val="20"/>
          <w:szCs w:val="20"/>
          <w:rtl/>
        </w:rPr>
      </w:pPr>
      <w:r w:rsidRPr="009C4893">
        <w:rPr>
          <w:rFonts w:cs="David" w:hint="cs"/>
          <w:sz w:val="20"/>
          <w:szCs w:val="20"/>
          <w:rtl/>
        </w:rPr>
        <w:t xml:space="preserve">אתם שואלים את עצמכם שאלה אחרונה, והגמרא שואלת אותה: האם רבי אליעזר עסק בכישוף? </w:t>
      </w:r>
    </w:p>
    <w:p w:rsidR="0033197B" w:rsidRPr="009C4893" w:rsidRDefault="0033197B" w:rsidP="0033197B">
      <w:pPr>
        <w:ind w:firstLine="226"/>
        <w:rPr>
          <w:rFonts w:cs="David"/>
          <w:sz w:val="20"/>
          <w:szCs w:val="20"/>
          <w:rtl/>
        </w:rPr>
      </w:pPr>
      <w:r w:rsidRPr="009C4893">
        <w:rPr>
          <w:rFonts w:cs="David" w:hint="cs"/>
          <w:sz w:val="20"/>
          <w:szCs w:val="20"/>
          <w:rtl/>
        </w:rPr>
        <w:t xml:space="preserve">נקודה אחרונה זו היא מכרעת: </w:t>
      </w:r>
      <w:r w:rsidRPr="009C4893">
        <w:rPr>
          <w:rFonts w:cs="David"/>
          <w:sz w:val="20"/>
          <w:szCs w:val="20"/>
          <w:rtl/>
        </w:rPr>
        <w:t>אנחנו חייבים להכיר את כל מה שלמדנו על עולם האשליות והכישוף, על התנוונות הקודש שבה שוקע הקודש המזויף</w:t>
      </w:r>
      <w:r w:rsidRPr="009C4893">
        <w:rPr>
          <w:rFonts w:cs="David" w:hint="cs"/>
          <w:sz w:val="20"/>
          <w:szCs w:val="20"/>
          <w:rtl/>
        </w:rPr>
        <w:t xml:space="preserve"> (או הקודש כפשוטו)</w:t>
      </w:r>
      <w:r w:rsidRPr="009C4893">
        <w:rPr>
          <w:rFonts w:cs="David"/>
          <w:sz w:val="20"/>
          <w:szCs w:val="20"/>
          <w:rtl/>
        </w:rPr>
        <w:t>... ידיעת התועבות האלו היא היחס היחיד שהיהדות מקיימת עם הקודש הזה ועם ביטולו (195)</w:t>
      </w:r>
    </w:p>
    <w:p w:rsidR="0033197B" w:rsidRDefault="0033197B"/>
    <w:sectPr w:rsidR="0033197B"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487715"/>
    <w:multiLevelType w:val="hybridMultilevel"/>
    <w:tmpl w:val="4FCE2A44"/>
    <w:lvl w:ilvl="0" w:tplc="0409000B">
      <w:start w:val="1"/>
      <w:numFmt w:val="bullet"/>
      <w:lvlText w:val=""/>
      <w:lvlJc w:val="left"/>
      <w:pPr>
        <w:ind w:left="947" w:hanging="360"/>
      </w:pPr>
      <w:rPr>
        <w:rFonts w:ascii="Wingdings" w:hAnsi="Wingdings"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97B"/>
    <w:rsid w:val="00005086"/>
    <w:rsid w:val="0033197B"/>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1CD7F"/>
  <w15:chartTrackingRefBased/>
  <w15:docId w15:val="{DA86E2CF-83D4-4719-934A-C499BDC3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3197B"/>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1182</Words>
  <Characters>5911</Characters>
  <Application>Microsoft Office Word</Application>
  <DocSecurity>0</DocSecurity>
  <Lines>49</Lines>
  <Paragraphs>14</Paragraphs>
  <ScaleCrop>false</ScaleCrop>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2019-03-16T20:31:00Z</dcterms:created>
  <dcterms:modified xsi:type="dcterms:W3CDTF">2019-03-16T20:32:00Z</dcterms:modified>
</cp:coreProperties>
</file>