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14B9" w:rsidRPr="009C3F76" w:rsidRDefault="002114B9" w:rsidP="002114B9">
      <w:pPr>
        <w:ind w:firstLine="226"/>
        <w:rPr>
          <w:rFonts w:cs="David" w:hint="cs"/>
          <w:sz w:val="20"/>
          <w:szCs w:val="20"/>
          <w:rtl/>
        </w:rPr>
      </w:pPr>
      <w:r w:rsidRPr="009C3F76">
        <w:rPr>
          <w:rFonts w:cs="David" w:hint="cs"/>
          <w:sz w:val="20"/>
          <w:szCs w:val="20"/>
          <w:rtl/>
        </w:rPr>
        <w:t>בס"ד</w:t>
      </w:r>
    </w:p>
    <w:p w:rsidR="002114B9" w:rsidRDefault="002114B9" w:rsidP="002114B9">
      <w:pPr>
        <w:ind w:firstLine="226"/>
        <w:jc w:val="center"/>
        <w:rPr>
          <w:rFonts w:cs="David"/>
          <w:b/>
          <w:bCs/>
          <w:sz w:val="24"/>
          <w:szCs w:val="24"/>
          <w:rtl/>
        </w:rPr>
      </w:pPr>
    </w:p>
    <w:p w:rsidR="002114B9" w:rsidRDefault="002114B9" w:rsidP="002114B9">
      <w:pPr>
        <w:ind w:firstLine="226"/>
        <w:jc w:val="center"/>
        <w:rPr>
          <w:rFonts w:cs="David"/>
          <w:rtl/>
        </w:rPr>
      </w:pPr>
      <w:r>
        <w:rPr>
          <w:rFonts w:cs="David" w:hint="cs"/>
          <w:b/>
          <w:bCs/>
          <w:sz w:val="24"/>
          <w:szCs w:val="24"/>
          <w:rtl/>
        </w:rPr>
        <w:t>רצון השמיים וכוחם של בני האדם</w:t>
      </w:r>
    </w:p>
    <w:p w:rsidR="002114B9" w:rsidRDefault="002114B9" w:rsidP="002114B9">
      <w:pPr>
        <w:ind w:firstLine="226"/>
        <w:rPr>
          <w:rFonts w:cs="David"/>
          <w:rtl/>
        </w:rPr>
      </w:pPr>
    </w:p>
    <w:p w:rsidR="002114B9" w:rsidRDefault="002114B9" w:rsidP="002114B9">
      <w:pPr>
        <w:ind w:firstLine="226"/>
        <w:rPr>
          <w:rFonts w:cs="David"/>
          <w:rtl/>
        </w:rPr>
      </w:pPr>
      <w:r w:rsidRPr="00614861">
        <w:rPr>
          <w:rFonts w:cs="David" w:hint="cs"/>
          <w:rtl/>
        </w:rPr>
        <w:t>יכולתי לצאת ידי חובה בפחות מאמץ</w:t>
      </w:r>
      <w:r>
        <w:rPr>
          <w:rFonts w:cs="David" w:hint="cs"/>
          <w:rtl/>
        </w:rPr>
        <w:t>, ולהסתפק בכמה אמירות כלליות על מעלות המקורות האלה בעזרת ציטוטים שבהם המקורות עצמם מתפארים בהצטיינותם. אני רוצה בכל מחיר להימנע מהדרך האפולוגטית הזאת...</w:t>
      </w:r>
    </w:p>
    <w:p w:rsidR="002114B9" w:rsidRDefault="002114B9" w:rsidP="002114B9">
      <w:pPr>
        <w:ind w:firstLine="226"/>
        <w:rPr>
          <w:rFonts w:cs="David"/>
          <w:rtl/>
        </w:rPr>
      </w:pPr>
      <w:r>
        <w:rPr>
          <w:rFonts w:cs="David" w:hint="cs"/>
          <w:rtl/>
        </w:rPr>
        <w:t xml:space="preserve">הקטע שלפנינו יעסיק אותנו די והותר. ההיבטים השונים שבו מתרבים ומתרחבים באותה מידה עצמה </w:t>
      </w:r>
      <w:r>
        <w:rPr>
          <w:rFonts w:cs="David"/>
          <w:rtl/>
        </w:rPr>
        <w:t>–</w:t>
      </w:r>
      <w:r>
        <w:rPr>
          <w:rFonts w:cs="David" w:hint="cs"/>
          <w:rtl/>
        </w:rPr>
        <w:t xml:space="preserve"> או באותו חוסר מידה מפואר </w:t>
      </w:r>
      <w:r>
        <w:rPr>
          <w:rFonts w:cs="David"/>
          <w:rtl/>
        </w:rPr>
        <w:t>–</w:t>
      </w:r>
      <w:r>
        <w:rPr>
          <w:rFonts w:cs="David" w:hint="cs"/>
          <w:rtl/>
        </w:rPr>
        <w:t xml:space="preserve"> שאנחנו הופכים והופכים בו. דברי חכמי התלמוד דומים לגחלת לוהטת (משנה אבות ב, י: וכל דבריהם כגחלי אש): הם מתלקחים כשנושפים עליהם. הבערה והאור כאן הם עניין של נשיפה! בגחלת הזאת, נקודות חסרות מקרינות משמעות, והנקודות הופכות לעוקצי משמעות. כל זה נכון גם בכתבי הקודש, למדתי את כל זה בספרו של ר' חיים </w:t>
      </w:r>
      <w:proofErr w:type="spellStart"/>
      <w:r>
        <w:rPr>
          <w:rFonts w:cs="David" w:hint="cs"/>
          <w:rtl/>
        </w:rPr>
        <w:t>מוואלאז'ין</w:t>
      </w:r>
      <w:proofErr w:type="spellEnd"/>
      <w:r>
        <w:rPr>
          <w:rFonts w:cs="David" w:hint="cs"/>
          <w:rtl/>
        </w:rPr>
        <w:t>, נפש החיים... אבל זכרו את המשל: הוא מגדיר את הספר כספר, כלומר כהשראה (15)</w:t>
      </w:r>
    </w:p>
    <w:p w:rsidR="002114B9" w:rsidRDefault="002114B9" w:rsidP="002114B9">
      <w:pPr>
        <w:ind w:firstLine="226"/>
        <w:rPr>
          <w:rFonts w:cs="David"/>
          <w:rtl/>
        </w:rPr>
      </w:pPr>
    </w:p>
    <w:p w:rsidR="002114B9" w:rsidRPr="00614861" w:rsidRDefault="002114B9" w:rsidP="002114B9">
      <w:pPr>
        <w:numPr>
          <w:ilvl w:val="0"/>
          <w:numId w:val="2"/>
        </w:numPr>
        <w:rPr>
          <w:rFonts w:cs="David"/>
          <w:b/>
          <w:bCs/>
          <w:rtl/>
        </w:rPr>
      </w:pPr>
      <w:r>
        <w:rPr>
          <w:rFonts w:cs="David" w:hint="cs"/>
          <w:b/>
          <w:bCs/>
          <w:rtl/>
        </w:rPr>
        <w:t>מושגים אלה, הדבוקים בממשות</w:t>
      </w:r>
    </w:p>
    <w:p w:rsidR="002114B9" w:rsidRDefault="002114B9" w:rsidP="002114B9">
      <w:pPr>
        <w:ind w:firstLine="226"/>
        <w:rPr>
          <w:rFonts w:cs="David"/>
          <w:rtl/>
        </w:rPr>
      </w:pPr>
      <w:r>
        <w:rPr>
          <w:rFonts w:cs="David" w:hint="cs"/>
          <w:rtl/>
        </w:rPr>
        <w:t>אני מתכוון להעיד: גם ה"חובב", אם רק יטה אוזן לרעיונות (ואפילו גישתו שטחית), יוכל לקבל מהם השראה חיונית עבור חייו הרוחניים בנוגע לשאלות המטרידות את האדם בן כל התקופות, כלומר האדם המודרני (עמ' 15)</w:t>
      </w:r>
      <w:r>
        <w:rPr>
          <w:rFonts w:cs="David"/>
          <w:rtl/>
        </w:rPr>
        <w:t xml:space="preserve"> </w:t>
      </w:r>
    </w:p>
    <w:p w:rsidR="002114B9" w:rsidRDefault="002114B9" w:rsidP="002114B9">
      <w:pPr>
        <w:ind w:firstLine="226"/>
        <w:rPr>
          <w:rFonts w:cs="David"/>
          <w:rtl/>
        </w:rPr>
      </w:pPr>
      <w:r>
        <w:rPr>
          <w:rFonts w:cs="David" w:hint="cs"/>
          <w:rtl/>
        </w:rPr>
        <w:t xml:space="preserve">מלכתחילה נראים המושגים האלה (כרת, מלקות, בית דין) בעיני פריסאי בשנת 1974 </w:t>
      </w:r>
      <w:r>
        <w:rPr>
          <w:rFonts w:cs="David"/>
          <w:rtl/>
        </w:rPr>
        <w:t>–</w:t>
      </w:r>
      <w:r>
        <w:rPr>
          <w:rFonts w:cs="David" w:hint="cs"/>
          <w:rtl/>
        </w:rPr>
        <w:t xml:space="preserve"> ומבחינה שכלית הרי כולנו פריסאים </w:t>
      </w:r>
      <w:r>
        <w:rPr>
          <w:rFonts w:cs="David"/>
          <w:rtl/>
        </w:rPr>
        <w:t>–</w:t>
      </w:r>
      <w:r>
        <w:rPr>
          <w:rFonts w:cs="David" w:hint="cs"/>
          <w:rtl/>
        </w:rPr>
        <w:t xml:space="preserve"> מיושנים, בדלניים וכאילו מגיעים אלינו ממרחקים. </w:t>
      </w:r>
    </w:p>
    <w:p w:rsidR="002114B9" w:rsidRDefault="002114B9" w:rsidP="002114B9">
      <w:pPr>
        <w:ind w:firstLine="226"/>
        <w:rPr>
          <w:rFonts w:cs="David"/>
          <w:rtl/>
        </w:rPr>
      </w:pPr>
      <w:r>
        <w:rPr>
          <w:rFonts w:cs="David" w:hint="cs"/>
          <w:rtl/>
        </w:rPr>
        <w:t xml:space="preserve">משמעותם בכל זאת כבדת משקל, מפני שהם נשארים כמו-דבוקים בדוגמאות שאת תוכנן הם הופכים לכללים ולצורות. לפיכך הם טעונים "מובנים" רבים, הנובעים לא מן הדו-משמעות, אלא מן העושר הבלתי-נדלה של ממדי הממשות, הרבים עד אינספור... </w:t>
      </w:r>
    </w:p>
    <w:p w:rsidR="002114B9" w:rsidRDefault="002114B9" w:rsidP="002114B9">
      <w:pPr>
        <w:ind w:firstLine="226"/>
        <w:rPr>
          <w:rFonts w:cs="David"/>
          <w:rtl/>
        </w:rPr>
      </w:pPr>
      <w:r>
        <w:rPr>
          <w:rFonts w:cs="David" w:hint="cs"/>
          <w:rtl/>
        </w:rPr>
        <w:t>כמה קצר רוח הוא ה</w:t>
      </w:r>
      <w:r>
        <w:rPr>
          <w:rFonts w:cs="David" w:hint="cs"/>
          <w:b/>
          <w:bCs/>
          <w:rtl/>
        </w:rPr>
        <w:t>מושג</w:t>
      </w:r>
      <w:r>
        <w:rPr>
          <w:rFonts w:cs="David" w:hint="cs"/>
          <w:rtl/>
        </w:rPr>
        <w:t>; כאן הדיון חוזר בלי הרף ל</w:t>
      </w:r>
      <w:r>
        <w:rPr>
          <w:rFonts w:cs="David" w:hint="cs"/>
          <w:b/>
          <w:bCs/>
          <w:rtl/>
        </w:rPr>
        <w:t>דוגמאות</w:t>
      </w:r>
      <w:r>
        <w:rPr>
          <w:rFonts w:cs="David" w:hint="cs"/>
          <w:rtl/>
        </w:rPr>
        <w:t>, מאפשר למושגים חדשים להבשיל, ויוצא שוב לדרך אל כיוונים חדשים... המשגה זו בעזרת דוגמאות היא דרך עיונית להבנת המציאות... מושגים אלה, הדבוקים ב</w:t>
      </w:r>
      <w:r w:rsidRPr="004811C3">
        <w:rPr>
          <w:rFonts w:cs="David" w:hint="cs"/>
          <w:b/>
          <w:bCs/>
          <w:rtl/>
        </w:rPr>
        <w:t>ממשות</w:t>
      </w:r>
      <w:r>
        <w:rPr>
          <w:rFonts w:cs="David" w:hint="cs"/>
          <w:b/>
          <w:bCs/>
          <w:rtl/>
        </w:rPr>
        <w:t xml:space="preserve">, </w:t>
      </w:r>
      <w:r>
        <w:rPr>
          <w:rFonts w:cs="David" w:hint="cs"/>
          <w:rtl/>
        </w:rPr>
        <w:t>פותחים עבור העיון מרחב השונה מזה שבו נעים מושגי ההפשטה הטהורה (16-17)</w:t>
      </w:r>
    </w:p>
    <w:p w:rsidR="002114B9" w:rsidRDefault="002114B9" w:rsidP="002114B9">
      <w:pPr>
        <w:ind w:firstLine="226"/>
        <w:rPr>
          <w:rFonts w:cs="David"/>
          <w:rtl/>
        </w:rPr>
      </w:pPr>
    </w:p>
    <w:p w:rsidR="002114B9" w:rsidRPr="005B6956" w:rsidRDefault="002114B9" w:rsidP="002114B9">
      <w:pPr>
        <w:numPr>
          <w:ilvl w:val="0"/>
          <w:numId w:val="1"/>
        </w:numPr>
        <w:rPr>
          <w:rFonts w:cs="David"/>
          <w:b/>
          <w:bCs/>
          <w:rtl/>
        </w:rPr>
      </w:pPr>
      <w:r>
        <w:rPr>
          <w:rFonts w:cs="David" w:hint="cs"/>
          <w:b/>
          <w:bCs/>
          <w:rtl/>
        </w:rPr>
        <w:t>האם בית הדין האנושי מוסמך לדין באותן עברות שגירשו אותנו מן האנושי?</w:t>
      </w:r>
    </w:p>
    <w:p w:rsidR="002114B9" w:rsidRDefault="002114B9" w:rsidP="002114B9">
      <w:pPr>
        <w:ind w:firstLine="226"/>
        <w:rPr>
          <w:rFonts w:ascii="FrankRuehl" w:hAnsi="FrankRuehl" w:cs="FrankRuehl"/>
          <w:rtl/>
        </w:rPr>
      </w:pPr>
      <w:r>
        <w:rPr>
          <w:rFonts w:ascii="FrankRuehl" w:hAnsi="FrankRuehl" w:cs="FrankRuehl" w:hint="cs"/>
          <w:rtl/>
        </w:rPr>
        <w:t xml:space="preserve">מתני' </w:t>
      </w:r>
      <w:r w:rsidRPr="004811C3">
        <w:rPr>
          <w:rFonts w:ascii="FrankRuehl" w:hAnsi="FrankRuehl" w:cs="FrankRuehl"/>
          <w:rtl/>
        </w:rPr>
        <w:t>כל חייבי כריתות שלקו - נפטרו ידי כריתתם, שנאמר: ונקלה אחיך לעיניך, כשלקה הרי הוא כאחיך, דברי רבי חנניה בן גמליאל</w:t>
      </w:r>
    </w:p>
    <w:p w:rsidR="002114B9" w:rsidRPr="004811C3" w:rsidRDefault="002114B9" w:rsidP="002114B9">
      <w:pPr>
        <w:ind w:firstLine="226"/>
        <w:rPr>
          <w:rFonts w:ascii="FrankRuehl" w:hAnsi="FrankRuehl" w:cs="FrankRuehl"/>
          <w:rtl/>
        </w:rPr>
      </w:pPr>
      <w:r>
        <w:rPr>
          <w:rFonts w:ascii="FrankRuehl" w:hAnsi="FrankRuehl" w:cs="FrankRuehl" w:hint="cs"/>
          <w:rtl/>
        </w:rPr>
        <w:t xml:space="preserve">גמ' </w:t>
      </w:r>
      <w:proofErr w:type="spellStart"/>
      <w:r w:rsidRPr="00C03D4C">
        <w:rPr>
          <w:rFonts w:ascii="FrankRuehl" w:hAnsi="FrankRuehl" w:cs="FrankRuehl"/>
          <w:rtl/>
        </w:rPr>
        <w:t>א"ר</w:t>
      </w:r>
      <w:proofErr w:type="spellEnd"/>
      <w:r w:rsidRPr="00C03D4C">
        <w:rPr>
          <w:rFonts w:ascii="FrankRuehl" w:hAnsi="FrankRuehl" w:cs="FrankRuehl"/>
          <w:rtl/>
        </w:rPr>
        <w:t xml:space="preserve"> יוחנן: </w:t>
      </w:r>
      <w:proofErr w:type="spellStart"/>
      <w:r w:rsidRPr="00C03D4C">
        <w:rPr>
          <w:rFonts w:ascii="FrankRuehl" w:hAnsi="FrankRuehl" w:cs="FrankRuehl"/>
          <w:rtl/>
        </w:rPr>
        <w:t>חלוקין</w:t>
      </w:r>
      <w:proofErr w:type="spellEnd"/>
      <w:r w:rsidRPr="00C03D4C">
        <w:rPr>
          <w:rFonts w:ascii="FrankRuehl" w:hAnsi="FrankRuehl" w:cs="FrankRuehl"/>
          <w:rtl/>
        </w:rPr>
        <w:t xml:space="preserve"> עליו חבריו על רבי חנניה בן גמליאל</w:t>
      </w:r>
      <w:r w:rsidRPr="004811C3">
        <w:rPr>
          <w:rFonts w:ascii="FrankRuehl" w:hAnsi="FrankRuehl" w:cs="FrankRuehl"/>
          <w:rtl/>
        </w:rPr>
        <w:t xml:space="preserve"> (בבלי מכות </w:t>
      </w:r>
      <w:proofErr w:type="spellStart"/>
      <w:r w:rsidRPr="004811C3">
        <w:rPr>
          <w:rFonts w:ascii="FrankRuehl" w:hAnsi="FrankRuehl" w:cs="FrankRuehl"/>
          <w:rtl/>
        </w:rPr>
        <w:t>כג</w:t>
      </w:r>
      <w:proofErr w:type="spellEnd"/>
      <w:r w:rsidRPr="004811C3">
        <w:rPr>
          <w:rFonts w:ascii="FrankRuehl" w:hAnsi="FrankRuehl" w:cs="FrankRuehl"/>
          <w:rtl/>
        </w:rPr>
        <w:t>, א)</w:t>
      </w:r>
    </w:p>
    <w:p w:rsidR="002114B9" w:rsidRDefault="002114B9" w:rsidP="002114B9">
      <w:pPr>
        <w:ind w:firstLine="226"/>
        <w:rPr>
          <w:rFonts w:cs="David"/>
          <w:rtl/>
        </w:rPr>
      </w:pPr>
      <w:r>
        <w:rPr>
          <w:rFonts w:cs="David" w:hint="cs"/>
          <w:rtl/>
        </w:rPr>
        <w:t>אליבא דרבי חנניה בן גמליאל, כל מי שעבר עבירה שעליה מטיל המקרא עונש "כרת", נפטר מעונשו אם הוא מקבל תמורתו עונש "מלקות" שמטיל עליו בית דין של מטה. באופן עקרוני ה"כרת" הוא עונש מוות שאינו בסמכותם של בתי דין אנושיים, אלא מוטל על ידי הבית-דין של מעלה... [האם] בית הדין האנושי מוסמך לדין באותן עברות שגירשו אותנו מן האנושי? לתקן את מה שלא ניתן לתקן? (עמ' 16-17)</w:t>
      </w:r>
    </w:p>
    <w:p w:rsidR="002114B9" w:rsidRDefault="002114B9" w:rsidP="002114B9">
      <w:pPr>
        <w:ind w:firstLine="226"/>
        <w:rPr>
          <w:rFonts w:cs="David"/>
          <w:rtl/>
        </w:rPr>
      </w:pPr>
    </w:p>
    <w:p w:rsidR="002114B9" w:rsidRPr="00A065E9" w:rsidRDefault="002114B9" w:rsidP="002114B9">
      <w:pPr>
        <w:numPr>
          <w:ilvl w:val="0"/>
          <w:numId w:val="1"/>
        </w:numPr>
        <w:rPr>
          <w:rFonts w:cs="David"/>
          <w:b/>
          <w:bCs/>
          <w:rtl/>
        </w:rPr>
      </w:pPr>
      <w:r w:rsidRPr="00A065E9">
        <w:rPr>
          <w:rFonts w:cs="David" w:hint="cs"/>
          <w:b/>
          <w:bCs/>
          <w:rtl/>
        </w:rPr>
        <w:t>הכאב המעורר, כלומר המלמד, המחנך והמייסר</w:t>
      </w:r>
    </w:p>
    <w:p w:rsidR="002114B9" w:rsidRPr="00A065E9" w:rsidRDefault="002114B9" w:rsidP="002114B9">
      <w:pPr>
        <w:ind w:firstLine="226"/>
        <w:rPr>
          <w:rFonts w:ascii="FrankRuehl" w:hAnsi="FrankRuehl" w:cs="FrankRuehl"/>
          <w:rtl/>
        </w:rPr>
      </w:pPr>
      <w:r w:rsidRPr="00A065E9">
        <w:rPr>
          <w:rFonts w:ascii="FrankRuehl" w:hAnsi="FrankRuehl" w:cs="FrankRuehl"/>
          <w:rtl/>
        </w:rPr>
        <w:t xml:space="preserve">אַרְבָּעִים יַכֶּנּוּ לֹא </w:t>
      </w:r>
      <w:proofErr w:type="spellStart"/>
      <w:r w:rsidRPr="00A065E9">
        <w:rPr>
          <w:rFonts w:ascii="FrankRuehl" w:hAnsi="FrankRuehl" w:cs="FrankRuehl"/>
          <w:rtl/>
        </w:rPr>
        <w:t>יֹסִיף</w:t>
      </w:r>
      <w:proofErr w:type="spellEnd"/>
      <w:r w:rsidRPr="00A065E9">
        <w:rPr>
          <w:rFonts w:ascii="FrankRuehl" w:hAnsi="FrankRuehl" w:cs="FrankRuehl"/>
          <w:rtl/>
        </w:rPr>
        <w:t xml:space="preserve"> פֶּן </w:t>
      </w:r>
      <w:proofErr w:type="spellStart"/>
      <w:r w:rsidRPr="00A065E9">
        <w:rPr>
          <w:rFonts w:ascii="FrankRuehl" w:hAnsi="FrankRuehl" w:cs="FrankRuehl"/>
          <w:rtl/>
        </w:rPr>
        <w:t>יֹסִיף</w:t>
      </w:r>
      <w:proofErr w:type="spellEnd"/>
      <w:r w:rsidRPr="00A065E9">
        <w:rPr>
          <w:rFonts w:ascii="FrankRuehl" w:hAnsi="FrankRuehl" w:cs="FrankRuehl"/>
          <w:rtl/>
        </w:rPr>
        <w:t xml:space="preserve"> </w:t>
      </w:r>
      <w:proofErr w:type="spellStart"/>
      <w:r w:rsidRPr="00A065E9">
        <w:rPr>
          <w:rFonts w:ascii="FrankRuehl" w:hAnsi="FrankRuehl" w:cs="FrankRuehl"/>
          <w:rtl/>
        </w:rPr>
        <w:t>לְהַכֹּתו</w:t>
      </w:r>
      <w:proofErr w:type="spellEnd"/>
      <w:r w:rsidRPr="00A065E9">
        <w:rPr>
          <w:rFonts w:ascii="FrankRuehl" w:hAnsi="FrankRuehl" w:cs="FrankRuehl"/>
          <w:rtl/>
        </w:rPr>
        <w:t>ֹ עַל אֵלֶּה מַכָּה רַבָּה וְנִקְלָה אָחִיךָ לְעֵינֶיךָ, כיוון שלקה – הרי הוא כאחיך (שם)</w:t>
      </w:r>
    </w:p>
    <w:p w:rsidR="002114B9" w:rsidRDefault="002114B9" w:rsidP="002114B9">
      <w:pPr>
        <w:ind w:firstLine="226"/>
        <w:rPr>
          <w:rFonts w:cs="David"/>
          <w:rtl/>
        </w:rPr>
      </w:pPr>
      <w:r>
        <w:rPr>
          <w:rFonts w:cs="David" w:hint="cs"/>
          <w:rtl/>
        </w:rPr>
        <w:t xml:space="preserve">האם החסד מופיע לרגע בבית הדין? שכחו לרגע את הדימוי סר-החן של המלקות, שכחו את אלימות הכרת ואת הפורמליזם של ההליך המשפטי: מושג המלקות מציין מושג </w:t>
      </w:r>
      <w:r>
        <w:rPr>
          <w:rFonts w:cs="David" w:hint="cs"/>
          <w:b/>
          <w:bCs/>
          <w:rtl/>
        </w:rPr>
        <w:t>אנושי</w:t>
      </w:r>
      <w:r>
        <w:rPr>
          <w:rFonts w:cs="David" w:hint="cs"/>
          <w:rtl/>
        </w:rPr>
        <w:t xml:space="preserve">, שמהותו היא הנגיעה בכבוד האנושי, שאינו בר נגיעה, של הזולת. היכן בחר  החסד לשכון! אבל הפסוק מספר דברים אומר במפורש: "פן </w:t>
      </w:r>
      <w:r>
        <w:rPr>
          <w:rFonts w:cs="David" w:hint="cs"/>
          <w:rtl/>
        </w:rPr>
        <w:lastRenderedPageBreak/>
        <w:t xml:space="preserve">יוסיף להכותו על אלה מכה רבה </w:t>
      </w:r>
      <w:r>
        <w:rPr>
          <w:rFonts w:cs="David" w:hint="cs"/>
          <w:b/>
          <w:bCs/>
          <w:rtl/>
        </w:rPr>
        <w:t>ונקלה אחיך לעיניך</w:t>
      </w:r>
      <w:r>
        <w:rPr>
          <w:rFonts w:cs="David" w:hint="cs"/>
          <w:rtl/>
        </w:rPr>
        <w:t xml:space="preserve">". כאן חייבת אהבת הרע להפגין את מלוא יכולתה: להעניש בלי להשפיל, להתערב בענייני הזולת בלי לגעת בחירותו... </w:t>
      </w:r>
    </w:p>
    <w:p w:rsidR="002114B9" w:rsidRDefault="002114B9" w:rsidP="002114B9">
      <w:pPr>
        <w:ind w:firstLine="226"/>
        <w:rPr>
          <w:rFonts w:cs="David"/>
          <w:rtl/>
        </w:rPr>
      </w:pPr>
      <w:r>
        <w:rPr>
          <w:rFonts w:cs="David" w:hint="cs"/>
          <w:rtl/>
        </w:rPr>
        <w:t xml:space="preserve">רבי חנניה בן גמליאל מתנתק מן הגורליות המיתולוגית הקודרת, שפירושה רודנות דתית, ומכריז שלא קיים חטא כלפי שמיים שאי אפשר לכפר עליו, או להביא לכפרתו, בין בני האדם ולאור היום. בית הדין... הוא המקום שבו מופיע הרצון הא-לוקי ומפיח חיים חדשים: זו יוזמה </w:t>
      </w:r>
      <w:r>
        <w:rPr>
          <w:rFonts w:cs="David" w:hint="cs"/>
          <w:b/>
          <w:bCs/>
          <w:rtl/>
        </w:rPr>
        <w:t>אבהית</w:t>
      </w:r>
      <w:r>
        <w:rPr>
          <w:rFonts w:cs="David" w:hint="cs"/>
          <w:rtl/>
        </w:rPr>
        <w:t>, הלובשת את צורת ה</w:t>
      </w:r>
      <w:r>
        <w:rPr>
          <w:rFonts w:cs="David" w:hint="cs"/>
          <w:b/>
          <w:bCs/>
          <w:rtl/>
        </w:rPr>
        <w:t>אחווה</w:t>
      </w:r>
      <w:r>
        <w:rPr>
          <w:rFonts w:cs="David" w:hint="cs"/>
          <w:rtl/>
        </w:rPr>
        <w:t xml:space="preserve">. </w:t>
      </w:r>
    </w:p>
    <w:p w:rsidR="002114B9" w:rsidRDefault="002114B9" w:rsidP="002114B9">
      <w:pPr>
        <w:ind w:firstLine="226"/>
        <w:rPr>
          <w:rFonts w:cs="David"/>
          <w:rtl/>
        </w:rPr>
      </w:pPr>
      <w:r>
        <w:rPr>
          <w:rFonts w:cs="David" w:hint="cs"/>
          <w:rtl/>
        </w:rPr>
        <w:t>ראוי לשים לב לנימוקו של רבי חנניה בן גמליאל: הוא נראה משחק עם המילים, אך לאמיתו של דבר ההתייחסות למילה "אחיך" רחוקה מלהיות משחק. יש בה נימוק וגם הגדרה למושג הצדק; היא מציינת פעולה שאין בה רצון לנקום... זה מעשה של אחווה הנובע מן האחריות לזולת. ה</w:t>
      </w:r>
      <w:r>
        <w:rPr>
          <w:rFonts w:cs="David" w:hint="cs"/>
          <w:b/>
          <w:bCs/>
          <w:rtl/>
        </w:rPr>
        <w:t xml:space="preserve">אחווה </w:t>
      </w:r>
      <w:r>
        <w:rPr>
          <w:rFonts w:cs="David" w:hint="cs"/>
          <w:rtl/>
        </w:rPr>
        <w:t xml:space="preserve">פירושה: להיות אחראי לרעך, להיות שומר אחיך-זולתך (בניגוד להשקפת עולמו של קין). אהבת הרע </w:t>
      </w:r>
      <w:r>
        <w:rPr>
          <w:rFonts w:cs="David" w:hint="cs"/>
          <w:b/>
          <w:bCs/>
          <w:rtl/>
        </w:rPr>
        <w:t>תתכן</w:t>
      </w:r>
      <w:r>
        <w:rPr>
          <w:rFonts w:cs="David" w:hint="cs"/>
          <w:rtl/>
        </w:rPr>
        <w:t xml:space="preserve"> בבית הדין, המחשב והשוקל... על השופט-של-מטה, על האדם, אחיו של הנאשם </w:t>
      </w:r>
      <w:r>
        <w:rPr>
          <w:rFonts w:cs="David"/>
          <w:rtl/>
        </w:rPr>
        <w:t>–</w:t>
      </w:r>
      <w:r>
        <w:rPr>
          <w:rFonts w:cs="David" w:hint="cs"/>
          <w:rtl/>
        </w:rPr>
        <w:t xml:space="preserve"> מוטלת החובה להחזיר את הרע לאחווה האנושית. אתה אחראי על אחיך עד כדי אחריות על חירותו!  הדבר אפשרי רק באמצעות הכפייה בעיצומו של הכאב המעורר, כלומר המלמד, המחנך והמייסר... </w:t>
      </w:r>
    </w:p>
    <w:p w:rsidR="002114B9" w:rsidRDefault="002114B9" w:rsidP="002114B9">
      <w:pPr>
        <w:ind w:firstLine="226"/>
        <w:rPr>
          <w:rFonts w:cs="David"/>
          <w:rtl/>
        </w:rPr>
      </w:pPr>
      <w:r>
        <w:rPr>
          <w:rFonts w:cs="David" w:hint="cs"/>
          <w:rtl/>
        </w:rPr>
        <w:t xml:space="preserve">החזרה לאנושי אפשרית רק אחרי קבלת העונש. אם כן, ההטרונומיה היא אחד מתנאי האוטונומיה, והיהדות חשבה על ההטרונומיה בחדות גדולה עם המושג </w:t>
      </w:r>
      <w:r>
        <w:rPr>
          <w:rFonts w:cs="David"/>
          <w:rtl/>
        </w:rPr>
        <w:t>–</w:t>
      </w:r>
      <w:r>
        <w:rPr>
          <w:rFonts w:cs="David" w:hint="cs"/>
          <w:rtl/>
        </w:rPr>
        <w:t xml:space="preserve"> או הקטגוריה </w:t>
      </w:r>
      <w:r>
        <w:rPr>
          <w:rFonts w:cs="David"/>
          <w:rtl/>
        </w:rPr>
        <w:t>–</w:t>
      </w:r>
      <w:r>
        <w:rPr>
          <w:rFonts w:cs="David" w:hint="cs"/>
          <w:rtl/>
        </w:rPr>
        <w:t xml:space="preserve"> של האבהות. </w:t>
      </w:r>
    </w:p>
    <w:p w:rsidR="002114B9" w:rsidRPr="004A0E0E" w:rsidRDefault="002114B9" w:rsidP="002114B9">
      <w:pPr>
        <w:ind w:firstLine="226"/>
        <w:rPr>
          <w:rFonts w:cs="David"/>
          <w:rtl/>
        </w:rPr>
      </w:pPr>
      <w:r>
        <w:rPr>
          <w:rFonts w:cs="David" w:hint="cs"/>
          <w:rtl/>
        </w:rPr>
        <w:t>[בהערה: כנגד הפגאניות של המושג הנקרא "תסביך אדיפוס", אנחנו צריכים לקרוא בהדגשה את הפסוקים... כמו הפסוק מספר דברים (ח, ה):</w:t>
      </w:r>
      <w:r w:rsidRPr="004A0E0E">
        <w:rPr>
          <w:rFonts w:cs="David"/>
          <w:rtl/>
        </w:rPr>
        <w:t xml:space="preserve"> וְיָדַעְתָּ עִם לְבָבֶךָ כִּי </w:t>
      </w:r>
      <w:r w:rsidRPr="004A0E0E">
        <w:rPr>
          <w:rFonts w:cs="David"/>
          <w:b/>
          <w:bCs/>
          <w:rtl/>
        </w:rPr>
        <w:t xml:space="preserve">כַּאֲשֶׁר יְיַסֵּר אִישׁ אֶת בְּנוֹ </w:t>
      </w:r>
      <w:r w:rsidRPr="004A0E0E">
        <w:rPr>
          <w:rFonts w:cs="David"/>
          <w:rtl/>
        </w:rPr>
        <w:t xml:space="preserve">ה' </w:t>
      </w:r>
      <w:proofErr w:type="spellStart"/>
      <w:r w:rsidRPr="004A0E0E">
        <w:rPr>
          <w:rFonts w:cs="David"/>
          <w:rtl/>
        </w:rPr>
        <w:t>אֱ</w:t>
      </w:r>
      <w:r>
        <w:rPr>
          <w:rFonts w:cs="David" w:hint="cs"/>
          <w:rtl/>
        </w:rPr>
        <w:t>-</w:t>
      </w:r>
      <w:r w:rsidRPr="004A0E0E">
        <w:rPr>
          <w:rFonts w:cs="David"/>
          <w:rtl/>
        </w:rPr>
        <w:t>לֹ</w:t>
      </w:r>
      <w:r>
        <w:rPr>
          <w:rFonts w:cs="David" w:hint="cs"/>
          <w:rtl/>
        </w:rPr>
        <w:t>ק</w:t>
      </w:r>
      <w:r w:rsidRPr="004A0E0E">
        <w:rPr>
          <w:rFonts w:cs="David"/>
          <w:rtl/>
        </w:rPr>
        <w:t>ֶיך</w:t>
      </w:r>
      <w:proofErr w:type="spellEnd"/>
      <w:r w:rsidRPr="004A0E0E">
        <w:rPr>
          <w:rFonts w:cs="David"/>
          <w:rtl/>
        </w:rPr>
        <w:t xml:space="preserve">ָ </w:t>
      </w:r>
      <w:proofErr w:type="spellStart"/>
      <w:r w:rsidRPr="004A0E0E">
        <w:rPr>
          <w:rFonts w:cs="David"/>
          <w:rtl/>
        </w:rPr>
        <w:t>מְיַסְּרֶך</w:t>
      </w:r>
      <w:proofErr w:type="spellEnd"/>
      <w:r w:rsidRPr="004A0E0E">
        <w:rPr>
          <w:rFonts w:cs="David"/>
          <w:rtl/>
        </w:rPr>
        <w:t>ָּ</w:t>
      </w:r>
      <w:r>
        <w:rPr>
          <w:rFonts w:cs="David" w:hint="cs"/>
          <w:rtl/>
        </w:rPr>
        <w:t xml:space="preserve">. משמעותה של האבהות כאן היא זו של </w:t>
      </w:r>
      <w:r>
        <w:rPr>
          <w:rFonts w:cs="David" w:hint="cs"/>
          <w:b/>
          <w:bCs/>
          <w:rtl/>
        </w:rPr>
        <w:t>קטגוריה המכוננת מובנות, ולא ניכור</w:t>
      </w:r>
      <w:r>
        <w:rPr>
          <w:rFonts w:cs="David" w:hint="cs"/>
          <w:rtl/>
        </w:rPr>
        <w:t>. בנקודה זו, לפחות, מעידה הפסיכואנליזה על המשבר העמוק שפוקד את המונותאיזם ברגישות של בני דורנו... הפסיכואנליזה טומנת בחובה את הסוד העמוק ביותר של האנטישמיות].</w:t>
      </w:r>
    </w:p>
    <w:p w:rsidR="002114B9" w:rsidRDefault="002114B9" w:rsidP="002114B9">
      <w:pPr>
        <w:ind w:firstLine="226"/>
        <w:rPr>
          <w:rFonts w:cs="David"/>
          <w:rtl/>
        </w:rPr>
      </w:pPr>
      <w:r>
        <w:rPr>
          <w:rFonts w:cs="David" w:hint="cs"/>
          <w:rtl/>
        </w:rPr>
        <w:t>הצדק הא-לוקי עצמו תובע את הופעתו בבית דין של מטה כדי להתעטף באחווה האנושית (עמ' 17-19)</w:t>
      </w:r>
    </w:p>
    <w:p w:rsidR="002114B9" w:rsidRDefault="002114B9" w:rsidP="002114B9">
      <w:pPr>
        <w:ind w:firstLine="226"/>
        <w:rPr>
          <w:rFonts w:cs="David"/>
          <w:rtl/>
        </w:rPr>
      </w:pPr>
    </w:p>
    <w:p w:rsidR="002114B9" w:rsidRPr="00F16BCC" w:rsidRDefault="002114B9" w:rsidP="002114B9">
      <w:pPr>
        <w:numPr>
          <w:ilvl w:val="0"/>
          <w:numId w:val="1"/>
        </w:numPr>
        <w:rPr>
          <w:rFonts w:cs="David"/>
          <w:b/>
          <w:bCs/>
          <w:rtl/>
        </w:rPr>
      </w:pPr>
      <w:r>
        <w:rPr>
          <w:rFonts w:cs="David" w:hint="cs"/>
          <w:b/>
          <w:bCs/>
          <w:rtl/>
        </w:rPr>
        <w:t>מי שמטיל את העונש מקבל על עצמו את קיומו של האחר</w:t>
      </w:r>
    </w:p>
    <w:p w:rsidR="002114B9" w:rsidRPr="00F2490E" w:rsidRDefault="002114B9" w:rsidP="002114B9">
      <w:pPr>
        <w:ind w:firstLine="226"/>
        <w:rPr>
          <w:rFonts w:ascii="FrankRuehl" w:hAnsi="FrankRuehl" w:cs="FrankRuehl"/>
          <w:rtl/>
        </w:rPr>
      </w:pPr>
      <w:r w:rsidRPr="00F2490E">
        <w:rPr>
          <w:rFonts w:ascii="FrankRuehl" w:hAnsi="FrankRuehl" w:cs="FrankRuehl"/>
          <w:rtl/>
        </w:rPr>
        <w:t xml:space="preserve">ואמר רבי חנניה בן גמליאל: מה אם העובר עבירה אחת - נוטל נפשו עליה, העושה מצוה אחת - על אחת כמה וכמה </w:t>
      </w:r>
      <w:proofErr w:type="spellStart"/>
      <w:r w:rsidRPr="00F2490E">
        <w:rPr>
          <w:rFonts w:ascii="FrankRuehl" w:hAnsi="FrankRuehl" w:cs="FrankRuehl"/>
          <w:rtl/>
        </w:rPr>
        <w:t>שתנתן</w:t>
      </w:r>
      <w:proofErr w:type="spellEnd"/>
      <w:r w:rsidRPr="00F2490E">
        <w:rPr>
          <w:rFonts w:ascii="FrankRuehl" w:hAnsi="FrankRuehl" w:cs="FrankRuehl"/>
          <w:rtl/>
        </w:rPr>
        <w:t xml:space="preserve"> לו נפשו. </w:t>
      </w:r>
    </w:p>
    <w:p w:rsidR="002114B9" w:rsidRPr="00F2490E" w:rsidRDefault="002114B9" w:rsidP="002114B9">
      <w:pPr>
        <w:ind w:firstLine="226"/>
        <w:rPr>
          <w:rFonts w:ascii="FrankRuehl" w:hAnsi="FrankRuehl" w:cs="FrankRuehl"/>
          <w:rtl/>
        </w:rPr>
      </w:pPr>
      <w:proofErr w:type="spellStart"/>
      <w:r w:rsidRPr="00F2490E">
        <w:rPr>
          <w:rFonts w:ascii="FrankRuehl" w:hAnsi="FrankRuehl" w:cs="FrankRuehl"/>
          <w:rtl/>
        </w:rPr>
        <w:t>ר"ש</w:t>
      </w:r>
      <w:proofErr w:type="spellEnd"/>
      <w:r w:rsidRPr="00F2490E">
        <w:rPr>
          <w:rFonts w:ascii="FrankRuehl" w:hAnsi="FrankRuehl" w:cs="FrankRuehl"/>
          <w:rtl/>
        </w:rPr>
        <w:t xml:space="preserve"> אומר: ממקומו הוא למד, שנאמר: ונכרתו הנפשות העושות וגו', ואומר: אשר יעשה אותם האדם וחי בהם, הא כל היושב ולא עבר עבירה - </w:t>
      </w:r>
      <w:proofErr w:type="spellStart"/>
      <w:r w:rsidRPr="00F2490E">
        <w:rPr>
          <w:rFonts w:ascii="FrankRuehl" w:hAnsi="FrankRuehl" w:cs="FrankRuehl"/>
          <w:rtl/>
        </w:rPr>
        <w:t>נותנין</w:t>
      </w:r>
      <w:proofErr w:type="spellEnd"/>
      <w:r w:rsidRPr="00F2490E">
        <w:rPr>
          <w:rFonts w:ascii="FrankRuehl" w:hAnsi="FrankRuehl" w:cs="FrankRuehl"/>
          <w:rtl/>
        </w:rPr>
        <w:t xml:space="preserve"> לו שכר כעושה מצוה. </w:t>
      </w:r>
    </w:p>
    <w:p w:rsidR="002114B9" w:rsidRPr="00F2490E" w:rsidRDefault="002114B9" w:rsidP="002114B9">
      <w:pPr>
        <w:ind w:firstLine="226"/>
        <w:rPr>
          <w:rFonts w:ascii="FrankRuehl" w:hAnsi="FrankRuehl" w:cs="FrankRuehl"/>
          <w:rtl/>
        </w:rPr>
      </w:pPr>
      <w:r w:rsidRPr="00F2490E">
        <w:rPr>
          <w:rFonts w:ascii="FrankRuehl" w:hAnsi="FrankRuehl" w:cs="FrankRuehl"/>
          <w:rtl/>
        </w:rPr>
        <w:t xml:space="preserve">...ר' </w:t>
      </w:r>
      <w:proofErr w:type="spellStart"/>
      <w:r w:rsidRPr="00F2490E">
        <w:rPr>
          <w:rFonts w:ascii="FrankRuehl" w:hAnsi="FrankRuehl" w:cs="FrankRuehl"/>
          <w:rtl/>
        </w:rPr>
        <w:t>חנניא</w:t>
      </w:r>
      <w:proofErr w:type="spellEnd"/>
      <w:r w:rsidRPr="00F2490E">
        <w:rPr>
          <w:rFonts w:ascii="FrankRuehl" w:hAnsi="FrankRuehl" w:cs="FrankRuehl"/>
          <w:rtl/>
        </w:rPr>
        <w:t xml:space="preserve"> בן </w:t>
      </w:r>
      <w:proofErr w:type="spellStart"/>
      <w:r w:rsidRPr="00F2490E">
        <w:rPr>
          <w:rFonts w:ascii="FrankRuehl" w:hAnsi="FrankRuehl" w:cs="FrankRuehl"/>
          <w:rtl/>
        </w:rPr>
        <w:t>עקשיא</w:t>
      </w:r>
      <w:proofErr w:type="spellEnd"/>
      <w:r w:rsidRPr="00F2490E">
        <w:rPr>
          <w:rFonts w:ascii="FrankRuehl" w:hAnsi="FrankRuehl" w:cs="FrankRuehl"/>
          <w:rtl/>
        </w:rPr>
        <w:t xml:space="preserve"> אומר: רצה הקדוש ברוך הוא לזכות את ישראל לפיכך הרבה להם תורה ומצות, שנאמר: ה' חפץ למען צדקו יגדיל תורה ויאדיר (מכות </w:t>
      </w:r>
      <w:proofErr w:type="spellStart"/>
      <w:r w:rsidRPr="00F2490E">
        <w:rPr>
          <w:rFonts w:ascii="FrankRuehl" w:hAnsi="FrankRuehl" w:cs="FrankRuehl"/>
          <w:rtl/>
        </w:rPr>
        <w:t>כג</w:t>
      </w:r>
      <w:proofErr w:type="spellEnd"/>
      <w:r w:rsidRPr="00F2490E">
        <w:rPr>
          <w:rFonts w:ascii="FrankRuehl" w:hAnsi="FrankRuehl" w:cs="FrankRuehl"/>
          <w:rtl/>
        </w:rPr>
        <w:t>, א-ב)</w:t>
      </w:r>
    </w:p>
    <w:p w:rsidR="002114B9" w:rsidRDefault="002114B9" w:rsidP="002114B9">
      <w:pPr>
        <w:ind w:firstLine="226"/>
        <w:rPr>
          <w:rFonts w:cs="David"/>
          <w:rtl/>
        </w:rPr>
      </w:pPr>
      <w:r>
        <w:rPr>
          <w:rFonts w:cs="David" w:hint="cs"/>
          <w:rtl/>
        </w:rPr>
        <w:t xml:space="preserve">הכפייה המופעלת על טבעיות החיים... מוצגת על ידי ר' שמעון כערובה לחיים... והרי האיסור הוא הכפייה </w:t>
      </w:r>
      <w:r w:rsidRPr="009B618A">
        <w:rPr>
          <w:rFonts w:ascii="FrankRuehl" w:hAnsi="FrankRuehl" w:cs="FrankRuehl"/>
        </w:rPr>
        <w:t>pa</w:t>
      </w:r>
      <w:r>
        <w:rPr>
          <w:rFonts w:ascii="FrankRuehl" w:hAnsi="FrankRuehl" w:cs="FrankRuehl"/>
        </w:rPr>
        <w:t xml:space="preserve">r </w:t>
      </w:r>
      <w:r w:rsidRPr="009B618A">
        <w:rPr>
          <w:rFonts w:ascii="FrankRuehl" w:hAnsi="FrankRuehl" w:cs="FrankRuehl"/>
        </w:rPr>
        <w:t>excellence</w:t>
      </w:r>
      <w:r>
        <w:rPr>
          <w:rFonts w:cs="David" w:hint="cs"/>
          <w:rtl/>
        </w:rPr>
        <w:t xml:space="preserve">, הכפייה הטהורה... מפני שהוא מפעיל לחץ על החיים הנחווים בחיוניות כ"כוח ההולך תמיד". האיסורים המרסנים את החיים, ובמיוחד את שפיעתה העיוורת של התשוקה המינית, הם בכל זאת מבשרי חיים, אליבא דרבי שמעון... זו ההגבלה שגורמת לחיים להתעורר מטבעיותם הסהרורית, להתפכח מעצם טבעם ולהפסיק את תנועתם </w:t>
      </w:r>
      <w:proofErr w:type="spellStart"/>
      <w:r>
        <w:rPr>
          <w:rFonts w:cs="David" w:hint="cs"/>
          <w:rtl/>
        </w:rPr>
        <w:t>הצנטריפטלית</w:t>
      </w:r>
      <w:proofErr w:type="spellEnd"/>
      <w:r>
        <w:rPr>
          <w:rFonts w:cs="David" w:hint="cs"/>
          <w:rtl/>
        </w:rPr>
        <w:t xml:space="preserve"> כדי להיפתח לאחר ולזולת...</w:t>
      </w:r>
    </w:p>
    <w:p w:rsidR="002114B9" w:rsidRDefault="002114B9" w:rsidP="002114B9">
      <w:pPr>
        <w:ind w:firstLine="226"/>
        <w:rPr>
          <w:rFonts w:cs="David"/>
          <w:rtl/>
        </w:rPr>
      </w:pPr>
      <w:r>
        <w:rPr>
          <w:rFonts w:cs="David" w:hint="cs"/>
          <w:rtl/>
        </w:rPr>
        <w:t xml:space="preserve">מתחת לחיים המאוימים על ידי הכרת, מתחת לחיים המוחזרים למי שקיבל על עצמו את כפיית בית הדין, נוכל לשמוע את החיים המתנגדים לקיום המבושם מעצם טבעו... "לפיכך הרבה להם תורה ומצוות" </w:t>
      </w:r>
      <w:r>
        <w:rPr>
          <w:rFonts w:cs="David"/>
          <w:rtl/>
        </w:rPr>
        <w:t>–</w:t>
      </w:r>
      <w:r>
        <w:rPr>
          <w:rFonts w:cs="David" w:hint="cs"/>
          <w:rtl/>
        </w:rPr>
        <w:t xml:space="preserve"> אין זאת אומרת שהוא רצה להמציא להם זכויות מלאכותיות או להריץ אותם במרוץ מכשולים; גדולת צדקתו ותהילתו מחייבת את האיסורים כנגד החיים שנחווים כ"כוח ההולך תמיד"...</w:t>
      </w:r>
    </w:p>
    <w:p w:rsidR="002114B9" w:rsidRDefault="002114B9" w:rsidP="002114B9">
      <w:pPr>
        <w:ind w:firstLine="226"/>
        <w:rPr>
          <w:rFonts w:cs="David"/>
          <w:rtl/>
        </w:rPr>
      </w:pPr>
      <w:r>
        <w:rPr>
          <w:rFonts w:cs="David" w:hint="cs"/>
          <w:rtl/>
        </w:rPr>
        <w:t>הדיין אינו רק משפטן הבקי בחוקים; הוא מציית בעצמו לחוקים שהוא מפעיל (ולימוד החוקים הוא הצורה העיקרית שלובש הציות הזה). מצב זה הכרחי כדי שאלימות ה"מלקות" תוכל לפטור מן ה"כרת", כדי שתיתכן אחריותו של האחד על האחר, וכדי שתיתכנה התבניות האונטולוגיות המוזרות שבהן מי שמטיל את העונש מקבל על עצמו את קיומו של האחר. רק בדרך זו ייתכן ערך שקודם לחירות ואינו מבטל אותה, וזו אולי המשמעות של המילה החריגה: א-לקים (20-22)</w:t>
      </w:r>
    </w:p>
    <w:p w:rsidR="002114B9" w:rsidRDefault="002114B9" w:rsidP="002114B9">
      <w:pPr>
        <w:ind w:firstLine="226"/>
        <w:rPr>
          <w:rFonts w:cs="David"/>
          <w:rtl/>
        </w:rPr>
      </w:pPr>
    </w:p>
    <w:p w:rsidR="002114B9" w:rsidRPr="00054461" w:rsidRDefault="002114B9" w:rsidP="002114B9">
      <w:pPr>
        <w:numPr>
          <w:ilvl w:val="0"/>
          <w:numId w:val="1"/>
        </w:numPr>
        <w:rPr>
          <w:rFonts w:cs="David"/>
          <w:b/>
          <w:bCs/>
          <w:rtl/>
        </w:rPr>
      </w:pPr>
      <w:r>
        <w:rPr>
          <w:rFonts w:cs="David" w:hint="cs"/>
          <w:b/>
          <w:bCs/>
          <w:rtl/>
        </w:rPr>
        <w:lastRenderedPageBreak/>
        <w:t>התיווך של עדת הצדיקים</w:t>
      </w:r>
    </w:p>
    <w:p w:rsidR="002114B9" w:rsidRDefault="002114B9" w:rsidP="002114B9">
      <w:pPr>
        <w:ind w:firstLine="226"/>
        <w:rPr>
          <w:rFonts w:cs="David"/>
          <w:rtl/>
        </w:rPr>
      </w:pPr>
      <w:r>
        <w:rPr>
          <w:rFonts w:cs="David" w:hint="cs"/>
          <w:rtl/>
        </w:rPr>
        <w:t>בית דין של מטה מתערב בעונשים שהם בסמכותם הבלעדית של השמיים; האם מדובר בחילון התורה, בביטול מה שנקרא בלשון הפילוסופים "הטרנסצנדנטיות הא-</w:t>
      </w:r>
      <w:proofErr w:type="spellStart"/>
      <w:r>
        <w:rPr>
          <w:rFonts w:cs="David" w:hint="cs"/>
          <w:rtl/>
        </w:rPr>
        <w:t>לוקית</w:t>
      </w:r>
      <w:proofErr w:type="spellEnd"/>
      <w:r>
        <w:rPr>
          <w:rFonts w:cs="David" w:hint="cs"/>
          <w:rtl/>
        </w:rPr>
        <w:t>"?... בעיית המשמעות המטפיזית של ההבדל בין הטרנסצנדנטיות לאימננטיות אינה נפרדת מן השאלות הקשורות לעונשים על האיסורים (עובדה-ראויה-לציון-זו אופיינית למחשבה שבה המושגים מקבלים את משמעותם האחרונה מן ההקשר האתי)...</w:t>
      </w:r>
    </w:p>
    <w:p w:rsidR="002114B9" w:rsidRDefault="002114B9" w:rsidP="002114B9">
      <w:pPr>
        <w:ind w:firstLine="226"/>
        <w:rPr>
          <w:rFonts w:cs="David"/>
          <w:rtl/>
        </w:rPr>
      </w:pPr>
      <w:r>
        <w:rPr>
          <w:rFonts w:cs="David" w:hint="cs"/>
          <w:rtl/>
        </w:rPr>
        <w:t xml:space="preserve">גם כשעיקר העונש הוא בידי שמיים בלבד, ניתנת למעשה סמכות לבית הדין האנושי. האם זו </w:t>
      </w:r>
      <w:proofErr w:type="spellStart"/>
      <w:r>
        <w:rPr>
          <w:rFonts w:cs="David" w:hint="cs"/>
          <w:rtl/>
        </w:rPr>
        <w:t>קולא</w:t>
      </w:r>
      <w:proofErr w:type="spellEnd"/>
      <w:r>
        <w:rPr>
          <w:rFonts w:cs="David" w:hint="cs"/>
          <w:rtl/>
        </w:rPr>
        <w:t xml:space="preserve">, המתחשבת ב"חולשה האנושית"? או שמא קיימת מחשבה חמורה יותר מאחורי ה"בקירוב" השכלי הזה?... הצדק המוחלט (ה"א-לוקי") הופך לחמלה (ה"אנושית") לא בוותרנות הלא צודקת, שאין עליה פיקוח, אלא באמצעות בית הדין האנושי... ופירוש הדבר באופן מעשי: זה התיווך של עדת הצדיקים (זה עצם אפשרותה של עדה כזאת)... </w:t>
      </w:r>
    </w:p>
    <w:p w:rsidR="002114B9" w:rsidRDefault="002114B9" w:rsidP="002114B9">
      <w:pPr>
        <w:ind w:firstLine="226"/>
        <w:rPr>
          <w:rFonts w:cs="David"/>
          <w:rtl/>
        </w:rPr>
      </w:pPr>
      <w:r>
        <w:rPr>
          <w:rFonts w:cs="David" w:hint="cs"/>
          <w:rtl/>
        </w:rPr>
        <w:t xml:space="preserve">עדת הצדיקים אינה בעצמה המקור הטבעי לשיפוטה; הרצון המתבטא דרכה הוא רצון </w:t>
      </w:r>
      <w:r>
        <w:rPr>
          <w:rFonts w:cs="David" w:hint="cs"/>
          <w:b/>
          <w:bCs/>
          <w:rtl/>
        </w:rPr>
        <w:t>אחר</w:t>
      </w:r>
      <w:r w:rsidRPr="00A065E9">
        <w:rPr>
          <w:rFonts w:cs="David" w:hint="cs"/>
          <w:b/>
          <w:rtl/>
        </w:rPr>
        <w:t>...</w:t>
      </w:r>
      <w:r>
        <w:rPr>
          <w:rFonts w:cs="David" w:hint="cs"/>
          <w:b/>
          <w:bCs/>
          <w:rtl/>
        </w:rPr>
        <w:t xml:space="preserve"> </w:t>
      </w:r>
      <w:r w:rsidRPr="00A065E9">
        <w:rPr>
          <w:rFonts w:cs="David" w:hint="cs"/>
          <w:b/>
          <w:rtl/>
        </w:rPr>
        <w:t>מובעת כאן</w:t>
      </w:r>
      <w:r>
        <w:rPr>
          <w:rFonts w:cs="David" w:hint="cs"/>
          <w:b/>
          <w:rtl/>
        </w:rPr>
        <w:t xml:space="preserve"> </w:t>
      </w:r>
      <w:r w:rsidRPr="00A065E9">
        <w:rPr>
          <w:rFonts w:cs="David" w:hint="cs"/>
          <w:b/>
          <w:rtl/>
        </w:rPr>
        <w:t>ההטרו</w:t>
      </w:r>
      <w:r>
        <w:rPr>
          <w:rFonts w:cs="David" w:hint="cs"/>
          <w:rtl/>
        </w:rPr>
        <w:t>נומיה היחידה שאינה מנכרת... ראויה הכפייה הזאת לקבל שם אחר, השונה מזה שממהרים לתת לה, מפני שהיא קודמת לחירות (22-23)</w:t>
      </w:r>
    </w:p>
    <w:p w:rsidR="002114B9" w:rsidRDefault="002114B9" w:rsidP="002114B9">
      <w:pPr>
        <w:ind w:firstLine="226"/>
        <w:rPr>
          <w:rFonts w:cs="David"/>
          <w:rtl/>
        </w:rPr>
      </w:pPr>
    </w:p>
    <w:p w:rsidR="002114B9" w:rsidRDefault="002114B9" w:rsidP="002114B9">
      <w:pPr>
        <w:ind w:firstLine="226"/>
        <w:rPr>
          <w:rFonts w:cs="David"/>
          <w:rtl/>
        </w:rPr>
      </w:pPr>
      <w:r>
        <w:rPr>
          <w:rFonts w:cs="David" w:hint="cs"/>
          <w:rtl/>
        </w:rPr>
        <w:t xml:space="preserve">העולם, בהיותו עולם, הוא ממשלת ה"זהה", והוא מסתפק בעצמו בתור המערכת. האדם, בתור "זהה" המופרע או  המונשם על ידי ה"אחר", הוא התבנית (או הקטגוריה) של ה"אחר בתוך הזהה" </w:t>
      </w:r>
      <w:r>
        <w:rPr>
          <w:rFonts w:cs="David"/>
          <w:rtl/>
        </w:rPr>
        <w:t>–</w:t>
      </w:r>
      <w:r>
        <w:rPr>
          <w:rFonts w:cs="David" w:hint="cs"/>
          <w:rtl/>
        </w:rPr>
        <w:t xml:space="preserve"> תבנית שלא ניתנת לצמצום. </w:t>
      </w:r>
    </w:p>
    <w:p w:rsidR="002114B9" w:rsidRDefault="002114B9" w:rsidP="002114B9">
      <w:pPr>
        <w:ind w:firstLine="226"/>
        <w:rPr>
          <w:rFonts w:cs="David"/>
          <w:rtl/>
        </w:rPr>
      </w:pPr>
      <w:r>
        <w:rPr>
          <w:rFonts w:cs="David" w:hint="cs"/>
          <w:rtl/>
        </w:rPr>
        <w:t>כנגד  האב-טיפוס היווני-רומאי של ה"זהה"... בית הדין מקבל על עצמו את מלוא האחריות רק מפני שהאחריות לאחר פועמת בו (עמ' 24)</w:t>
      </w:r>
    </w:p>
    <w:p w:rsidR="002114B9" w:rsidRDefault="002114B9" w:rsidP="002114B9">
      <w:pPr>
        <w:ind w:firstLine="226"/>
        <w:rPr>
          <w:rFonts w:cs="David"/>
          <w:rtl/>
        </w:rPr>
      </w:pPr>
    </w:p>
    <w:p w:rsidR="00D57FFC" w:rsidRDefault="00D57FFC">
      <w:bookmarkStart w:id="0" w:name="_GoBack"/>
      <w:bookmarkEnd w:id="0"/>
    </w:p>
    <w:sectPr w:rsidR="00D57FFC" w:rsidSect="0000508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386AFA"/>
    <w:multiLevelType w:val="hybridMultilevel"/>
    <w:tmpl w:val="46A24882"/>
    <w:lvl w:ilvl="0" w:tplc="1098D5DE">
      <w:start w:val="2"/>
      <w:numFmt w:val="decimal"/>
      <w:lvlText w:val="%1."/>
      <w:lvlJc w:val="left"/>
      <w:pPr>
        <w:ind w:left="586" w:hanging="360"/>
      </w:pPr>
      <w:rPr>
        <w:rFonts w:hint="default"/>
      </w:rPr>
    </w:lvl>
    <w:lvl w:ilvl="1" w:tplc="04090019" w:tentative="1">
      <w:start w:val="1"/>
      <w:numFmt w:val="lowerLetter"/>
      <w:lvlText w:val="%2."/>
      <w:lvlJc w:val="left"/>
      <w:pPr>
        <w:ind w:left="1306" w:hanging="360"/>
      </w:pPr>
    </w:lvl>
    <w:lvl w:ilvl="2" w:tplc="0409001B" w:tentative="1">
      <w:start w:val="1"/>
      <w:numFmt w:val="lowerRoman"/>
      <w:lvlText w:val="%3."/>
      <w:lvlJc w:val="right"/>
      <w:pPr>
        <w:ind w:left="2026" w:hanging="180"/>
      </w:pPr>
    </w:lvl>
    <w:lvl w:ilvl="3" w:tplc="0409000F" w:tentative="1">
      <w:start w:val="1"/>
      <w:numFmt w:val="decimal"/>
      <w:lvlText w:val="%4."/>
      <w:lvlJc w:val="left"/>
      <w:pPr>
        <w:ind w:left="2746" w:hanging="360"/>
      </w:pPr>
    </w:lvl>
    <w:lvl w:ilvl="4" w:tplc="04090019" w:tentative="1">
      <w:start w:val="1"/>
      <w:numFmt w:val="lowerLetter"/>
      <w:lvlText w:val="%5."/>
      <w:lvlJc w:val="left"/>
      <w:pPr>
        <w:ind w:left="3466" w:hanging="360"/>
      </w:pPr>
    </w:lvl>
    <w:lvl w:ilvl="5" w:tplc="0409001B" w:tentative="1">
      <w:start w:val="1"/>
      <w:numFmt w:val="lowerRoman"/>
      <w:lvlText w:val="%6."/>
      <w:lvlJc w:val="right"/>
      <w:pPr>
        <w:ind w:left="4186" w:hanging="180"/>
      </w:pPr>
    </w:lvl>
    <w:lvl w:ilvl="6" w:tplc="0409000F" w:tentative="1">
      <w:start w:val="1"/>
      <w:numFmt w:val="decimal"/>
      <w:lvlText w:val="%7."/>
      <w:lvlJc w:val="left"/>
      <w:pPr>
        <w:ind w:left="4906" w:hanging="360"/>
      </w:pPr>
    </w:lvl>
    <w:lvl w:ilvl="7" w:tplc="04090019" w:tentative="1">
      <w:start w:val="1"/>
      <w:numFmt w:val="lowerLetter"/>
      <w:lvlText w:val="%8."/>
      <w:lvlJc w:val="left"/>
      <w:pPr>
        <w:ind w:left="5626" w:hanging="360"/>
      </w:pPr>
    </w:lvl>
    <w:lvl w:ilvl="8" w:tplc="0409001B" w:tentative="1">
      <w:start w:val="1"/>
      <w:numFmt w:val="lowerRoman"/>
      <w:lvlText w:val="%9."/>
      <w:lvlJc w:val="right"/>
      <w:pPr>
        <w:ind w:left="6346" w:hanging="180"/>
      </w:pPr>
    </w:lvl>
  </w:abstractNum>
  <w:abstractNum w:abstractNumId="1" w15:restartNumberingAfterBreak="0">
    <w:nsid w:val="58050EE2"/>
    <w:multiLevelType w:val="hybridMultilevel"/>
    <w:tmpl w:val="CB4CC6EE"/>
    <w:lvl w:ilvl="0" w:tplc="079C6610">
      <w:start w:val="1"/>
      <w:numFmt w:val="decimal"/>
      <w:lvlText w:val="%1."/>
      <w:lvlJc w:val="left"/>
      <w:pPr>
        <w:ind w:left="586" w:hanging="360"/>
      </w:pPr>
      <w:rPr>
        <w:rFonts w:hint="default"/>
      </w:rPr>
    </w:lvl>
    <w:lvl w:ilvl="1" w:tplc="04090019" w:tentative="1">
      <w:start w:val="1"/>
      <w:numFmt w:val="lowerLetter"/>
      <w:lvlText w:val="%2."/>
      <w:lvlJc w:val="left"/>
      <w:pPr>
        <w:ind w:left="1306" w:hanging="360"/>
      </w:pPr>
    </w:lvl>
    <w:lvl w:ilvl="2" w:tplc="0409001B" w:tentative="1">
      <w:start w:val="1"/>
      <w:numFmt w:val="lowerRoman"/>
      <w:lvlText w:val="%3."/>
      <w:lvlJc w:val="right"/>
      <w:pPr>
        <w:ind w:left="2026" w:hanging="180"/>
      </w:pPr>
    </w:lvl>
    <w:lvl w:ilvl="3" w:tplc="0409000F" w:tentative="1">
      <w:start w:val="1"/>
      <w:numFmt w:val="decimal"/>
      <w:lvlText w:val="%4."/>
      <w:lvlJc w:val="left"/>
      <w:pPr>
        <w:ind w:left="2746" w:hanging="360"/>
      </w:pPr>
    </w:lvl>
    <w:lvl w:ilvl="4" w:tplc="04090019" w:tentative="1">
      <w:start w:val="1"/>
      <w:numFmt w:val="lowerLetter"/>
      <w:lvlText w:val="%5."/>
      <w:lvlJc w:val="left"/>
      <w:pPr>
        <w:ind w:left="3466" w:hanging="360"/>
      </w:pPr>
    </w:lvl>
    <w:lvl w:ilvl="5" w:tplc="0409001B" w:tentative="1">
      <w:start w:val="1"/>
      <w:numFmt w:val="lowerRoman"/>
      <w:lvlText w:val="%6."/>
      <w:lvlJc w:val="right"/>
      <w:pPr>
        <w:ind w:left="4186" w:hanging="180"/>
      </w:pPr>
    </w:lvl>
    <w:lvl w:ilvl="6" w:tplc="0409000F" w:tentative="1">
      <w:start w:val="1"/>
      <w:numFmt w:val="decimal"/>
      <w:lvlText w:val="%7."/>
      <w:lvlJc w:val="left"/>
      <w:pPr>
        <w:ind w:left="4906" w:hanging="360"/>
      </w:pPr>
    </w:lvl>
    <w:lvl w:ilvl="7" w:tplc="04090019" w:tentative="1">
      <w:start w:val="1"/>
      <w:numFmt w:val="lowerLetter"/>
      <w:lvlText w:val="%8."/>
      <w:lvlJc w:val="left"/>
      <w:pPr>
        <w:ind w:left="5626" w:hanging="360"/>
      </w:pPr>
    </w:lvl>
    <w:lvl w:ilvl="8" w:tplc="0409001B" w:tentative="1">
      <w:start w:val="1"/>
      <w:numFmt w:val="lowerRoman"/>
      <w:lvlText w:val="%9."/>
      <w:lvlJc w:val="right"/>
      <w:pPr>
        <w:ind w:left="6346"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4B9"/>
    <w:rsid w:val="00005086"/>
    <w:rsid w:val="002114B9"/>
    <w:rsid w:val="00A428B4"/>
    <w:rsid w:val="00D57FF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C622C6-A56B-4C3C-9B0C-5697BC6EF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14B9"/>
    <w:pPr>
      <w:bidi/>
      <w:spacing w:after="0" w:line="360" w:lineRule="auto"/>
      <w:jc w:val="both"/>
    </w:pPr>
    <w:rPr>
      <w:rFonts w:ascii="Calibri" w:eastAsia="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1207</Words>
  <Characters>6037</Characters>
  <Application>Microsoft Office Word</Application>
  <DocSecurity>0</DocSecurity>
  <Lines>50</Lines>
  <Paragraphs>14</Paragraphs>
  <ScaleCrop>false</ScaleCrop>
  <Company/>
  <LinksUpToDate>false</LinksUpToDate>
  <CharactersWithSpaces>7230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יוסי גמליאל</dc:creator>
  <cp:keywords/>
  <dc:description/>
  <cp:lastModifiedBy>יוסי גמליאל</cp:lastModifiedBy>
  <cp:revision>1</cp:revision>
  <dcterms:created xsi:type="dcterms:W3CDTF">2019-06-03T14:25:00Z</dcterms:created>
  <dcterms:modified xsi:type="dcterms:W3CDTF">2019-06-03T14:25:00Z</dcterms:modified>
</cp:coreProperties>
</file>